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  <w:lang w:val="en-US" w:eastAsia="zh-CN"/>
        </w:rPr>
        <w:t>泰安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市首单知识产权保险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  <w:lang w:val="en-US" w:eastAsia="zh-CN"/>
        </w:rPr>
        <w:t>成功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签约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bdr w:val="none" w:color="auto" w:sz="0" w:space="0"/>
          <w:shd w:val="clear" w:fill="FFFFFF"/>
        </w:rPr>
        <w:t>近日，中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华联合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bdr w:val="none" w:color="auto" w:sz="0" w:space="0"/>
          <w:shd w:val="clear" w:fill="FFFFFF"/>
        </w:rPr>
        <w:t>财产保险股份有限公司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泰安中心支公司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bdr w:val="none" w:color="auto" w:sz="0" w:space="0"/>
          <w:shd w:val="clear" w:fill="FFFFFF"/>
        </w:rPr>
        <w:t>与山东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爱客多热能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bdr w:val="none" w:color="auto" w:sz="0" w:space="0"/>
          <w:shd w:val="clear" w:fill="FFFFFF"/>
        </w:rPr>
        <w:t>科技有限公司就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bdr w:val="none" w:color="auto" w:sz="0" w:space="0"/>
          <w:shd w:val="clear" w:fill="FFFFFF"/>
        </w:rPr>
        <w:t>项专利签订了《专利执行保险保险单》，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是我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市推行知识产权保险政策以来第一份正式签约保单。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7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15"/>
          <w:sz w:val="25"/>
          <w:szCs w:val="25"/>
          <w:bdr w:val="none" w:color="auto" w:sz="0" w:space="0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根据山东省市场监管局、山东省财政厅、中国银保监会山东监管局联合印发的《山东省企业知识产权保险扶持项目管理实施办法》，专利保险主要是指经保险监督管理部门批准、由国内依法设立的保险公司开展的专利保险业务，包括知识产权海外侵权责任险、专利执行险、专利被侵权损失险等保险产品。据悉，知识产权保险扶持政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列入省政府《“稳中求进”高质量发展政策清单(第一批)》，企业向保险公司投保知识产权保险，由省财政厅按照实际投保年度保费的60%给予补贴，其中投保专利执行险、专利被侵权损失险的企业，年度补贴总额最高20万元，仅投保国内险的企业年度补贴总额最高6万元；投保知识产权海外侵权责任险的企业年度补贴总额最高40万元，对于高价值专利和企业投保目标国是“一带一路”沿线国家和地区的，保费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上浮10%。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省有关文件下发后，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  <w:t>泰安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市市场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  <w:t>监督管理局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主动与多家保险公司对接，广泛向企业宣贯，引导企业参加知识产权保险。下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将持续推进知识产权保险工作，推动更多知识产权保险项目落地，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  <w:t>指导企业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申请资金补助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进一步激发企业创新活力，降低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15"/>
          <w:sz w:val="32"/>
          <w:szCs w:val="32"/>
          <w:shd w:val="clear" w:fill="FFFFFF"/>
        </w:rPr>
        <w:t>维权成本，为高质量发展提供更多支撑。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331F"/>
    <w:rsid w:val="188D5E62"/>
    <w:rsid w:val="2EB46A04"/>
    <w:rsid w:val="30830EBF"/>
    <w:rsid w:val="3FD83BF6"/>
    <w:rsid w:val="41123EF7"/>
    <w:rsid w:val="4D7F6DB0"/>
    <w:rsid w:val="50F84FE2"/>
    <w:rsid w:val="599117A1"/>
    <w:rsid w:val="60A52761"/>
    <w:rsid w:val="7D2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575</Characters>
  <Lines>0</Lines>
  <Paragraphs>0</Paragraphs>
  <TotalTime>14</TotalTime>
  <ScaleCrop>false</ScaleCrop>
  <LinksUpToDate>false</LinksUpToDate>
  <CharactersWithSpaces>576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2022-04-02T03:29:23Z</dcterms:created>
  <dc:creator>Administrator</dc:creator>
  <cp:lastModifiedBy>黄勇</cp:lastModifiedBy>
  <cp:lastPrinted>2022-04-02T03:43:28Z</cp:lastPrinted>
  <dcterms:modified xsi:type="dcterms:W3CDTF">2022-04-02T03:43:30Z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E1470F5BB1F94621B306D4659A473004</vt:lpwstr>
  </property>
</Properties>
</file>