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3709</w:t>
            </w:r>
            <w:r>
              <w:fldChar w:fldCharType="end"/>
            </w:r>
            <w:bookmarkEnd w:id="3"/>
          </w:p>
        </w:tc>
      </w:tr>
    </w:tbl>
    <w:p>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泰安市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7"/>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2"/>
        <w:framePr w:w="9639" w:h="6976" w:hRule="exact" w:hSpace="0" w:vSpace="0" w:wrap="around" w:hAnchor="page" w:y="6408"/>
        <w:jc w:val="center"/>
        <w:rPr>
          <w:rFonts w:ascii="黑体" w:hAnsi="黑体" w:eastAsia="黑体"/>
          <w:b w:val="0"/>
          <w:bCs w:val="0"/>
          <w:w w:val="100"/>
        </w:rPr>
      </w:pPr>
    </w:p>
    <w:p>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泰山灵芝质量控制技术规范</w:t>
      </w:r>
      <w:r>
        <w:fldChar w:fldCharType="end"/>
      </w:r>
      <w:bookmarkEnd w:id="9"/>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 xml:space="preserve">Technical specification for quality control of Taishan Ganoderma lingzhi </w:t>
      </w:r>
      <w:r>
        <w:rPr>
          <w:rFonts w:eastAsia="黑体"/>
          <w:szCs w:val="28"/>
        </w:rPr>
        <w:t xml:space="preserve"> </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023</w:t>
      </w:r>
      <w:r>
        <w:rPr>
          <w:rFonts w:hint="eastAsia"/>
          <w:sz w:val="21"/>
          <w:szCs w:val="28"/>
        </w:rPr>
        <w:t>年</w:t>
      </w:r>
      <w:r>
        <w:rPr>
          <w:sz w:val="21"/>
          <w:szCs w:val="28"/>
        </w:rPr>
        <w:t>8</w:t>
      </w:r>
      <w:r>
        <w:rPr>
          <w:rFonts w:hint="eastAsia"/>
          <w:sz w:val="21"/>
          <w:szCs w:val="28"/>
        </w:rPr>
        <w:t>月2</w:t>
      </w:r>
      <w:r>
        <w:rPr>
          <w:sz w:val="21"/>
          <w:szCs w:val="28"/>
        </w:rPr>
        <w:t>9</w:t>
      </w:r>
      <w:r>
        <w:rPr>
          <w:rFonts w:hint="eastAsia"/>
          <w:sz w:val="21"/>
          <w:szCs w:val="28"/>
        </w:rPr>
        <w:t>日）</w:t>
      </w:r>
      <w:r>
        <w:rPr>
          <w:sz w:val="21"/>
          <w:szCs w:val="28"/>
        </w:rPr>
        <w:fldChar w:fldCharType="end"/>
      </w:r>
      <w:bookmarkEnd w:id="12"/>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2"/>
      <w:r>
        <w:rPr>
          <w:spacing w:val="320"/>
        </w:rPr>
        <w:t>前</w:t>
      </w:r>
      <w:r>
        <w:t>言</w:t>
      </w:r>
    </w:p>
    <w:p>
      <w:pPr>
        <w:pStyle w:val="58"/>
        <w:ind w:firstLine="420"/>
      </w:pPr>
      <w:r>
        <w:rPr>
          <w:rFonts w:hint="eastAsia"/>
        </w:rPr>
        <w:t>本文件按照GB/T 1.1—2020《标准化工作导则  第1部分：标准化文件的结构和起草规则》的规定起草。</w:t>
      </w:r>
    </w:p>
    <w:p>
      <w:pPr>
        <w:pStyle w:val="58"/>
        <w:ind w:firstLine="420"/>
      </w:pPr>
      <w:r>
        <w:rPr>
          <w:rFonts w:hint="eastAsia"/>
        </w:rPr>
        <w:t>请注意本文件的某些内容可能涉及专利。本文件的发布机构不承担识别专利的责任。</w:t>
      </w:r>
    </w:p>
    <w:p>
      <w:pPr>
        <w:pStyle w:val="58"/>
        <w:ind w:firstLine="420"/>
      </w:pPr>
      <w:r>
        <w:rPr>
          <w:rFonts w:hint="eastAsia"/>
        </w:rPr>
        <w:t>本文件由泰安市农业农村局提出、归口并组织实施。</w:t>
      </w:r>
    </w:p>
    <w:p>
      <w:pPr>
        <w:pStyle w:val="58"/>
        <w:ind w:firstLine="420"/>
      </w:pPr>
      <w:r>
        <w:rPr>
          <w:rFonts w:hint="eastAsia"/>
        </w:rPr>
        <w:t xml:space="preserve">本文件起草单位：泰安市农业科学院、泰安市农业技术推广中心、肥城市现代农业发展服务中心、 岱岳区农业农村局 </w:t>
      </w:r>
    </w:p>
    <w:p>
      <w:pPr>
        <w:spacing w:line="240" w:lineRule="auto"/>
        <w:ind w:firstLine="420" w:firstLineChars="200"/>
        <w:rPr>
          <w:rFonts w:hint="eastAsia" w:eastAsia="宋体"/>
          <w:lang w:val="en-US" w:eastAsia="zh-CN"/>
        </w:rPr>
      </w:pPr>
      <w:r>
        <w:rPr>
          <w:rFonts w:hint="eastAsia"/>
        </w:rPr>
        <w:t>本文件主要起草人：孔怡、焦娟、兰玉菲、周波、王庆武、丛倩倩、于清伟、马成立、陈乐梅、蒋永涛、崔晓、王梅、王丽晓、李秀梅、徐慧媛、唐丽娜、许庆国、窦强、张磊、胡凌云</w:t>
      </w:r>
      <w:r>
        <w:rPr>
          <w:rFonts w:hint="eastAsia"/>
          <w:lang w:eastAsia="zh-CN"/>
        </w:rPr>
        <w:t>、何立宁。</w:t>
      </w:r>
    </w:p>
    <w:p>
      <w:pPr>
        <w:pStyle w:val="58"/>
        <w:ind w:firstLine="420"/>
      </w:pPr>
    </w:p>
    <w:p>
      <w:pPr>
        <w:pStyle w:val="58"/>
        <w:ind w:firstLine="420"/>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type="lines" w:linePitch="312" w:charSpace="0"/>
        </w:sectPr>
      </w:pPr>
      <w:bookmarkStart w:id="47" w:name="_GoBack"/>
      <w:bookmarkEnd w:id="47"/>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F4CEE88931124D30A6FCAAA60E2865E0"/>
        </w:placeholder>
      </w:sdtPr>
      <w:sdtContent>
        <w:p>
          <w:pPr>
            <w:pStyle w:val="179"/>
            <w:spacing w:before="3" w:beforeLines="1" w:after="686" w:afterLines="220"/>
          </w:pPr>
          <w:bookmarkStart w:id="23" w:name="NEW_STAND_NAME"/>
          <w:r>
            <w:rPr>
              <w:rFonts w:hint="eastAsia"/>
            </w:rPr>
            <w:t>泰山灵芝质量控制技术规范</w:t>
          </w:r>
        </w:p>
      </w:sdtContent>
    </w:sdt>
    <w:bookmarkEnd w:id="23"/>
    <w:p>
      <w:pPr>
        <w:pStyle w:val="106"/>
        <w:spacing w:before="312" w:after="312"/>
      </w:pPr>
      <w:bookmarkStart w:id="24" w:name="_Toc26986771"/>
      <w:bookmarkStart w:id="25" w:name="_Toc26648465"/>
      <w:bookmarkStart w:id="26" w:name="_Toc24884218"/>
      <w:bookmarkStart w:id="27" w:name="_Toc17233325"/>
      <w:bookmarkStart w:id="28" w:name="_Toc24884211"/>
      <w:bookmarkStart w:id="29" w:name="_Toc17233333"/>
      <w:bookmarkStart w:id="30" w:name="_Toc26986530"/>
      <w:bookmarkStart w:id="31" w:name="_Toc26718930"/>
      <w:r>
        <w:rPr>
          <w:rFonts w:hint="eastAsia"/>
        </w:rPr>
        <w:t>范围</w:t>
      </w:r>
      <w:bookmarkEnd w:id="24"/>
      <w:bookmarkEnd w:id="25"/>
      <w:bookmarkEnd w:id="26"/>
      <w:bookmarkEnd w:id="27"/>
      <w:bookmarkEnd w:id="28"/>
      <w:bookmarkEnd w:id="29"/>
      <w:bookmarkEnd w:id="30"/>
      <w:bookmarkEnd w:id="31"/>
    </w:p>
    <w:p>
      <w:pPr>
        <w:pStyle w:val="58"/>
        <w:ind w:firstLine="420"/>
      </w:pPr>
      <w:bookmarkStart w:id="32" w:name="_Toc17233326"/>
      <w:bookmarkStart w:id="33" w:name="_Toc24884212"/>
      <w:bookmarkStart w:id="34" w:name="_Toc24884219"/>
      <w:bookmarkStart w:id="35" w:name="_Toc17233334"/>
      <w:bookmarkStart w:id="36" w:name="_Toc26648466"/>
      <w:r>
        <w:rPr>
          <w:rFonts w:hint="eastAsia"/>
        </w:rPr>
        <w:t>本文件规定了泰山灵芝（</w:t>
      </w:r>
      <w:r>
        <w:rPr>
          <w:rFonts w:hint="eastAsia"/>
          <w:szCs w:val="28"/>
        </w:rPr>
        <w:t xml:space="preserve">Taishan </w:t>
      </w:r>
      <w:r>
        <w:rPr>
          <w:rFonts w:hint="eastAsia"/>
          <w:i/>
          <w:iCs/>
          <w:szCs w:val="28"/>
        </w:rPr>
        <w:t>Ganoderma lingzhi</w:t>
      </w:r>
      <w:r>
        <w:rPr>
          <w:rFonts w:hint="eastAsia"/>
        </w:rPr>
        <w:t>）栽培环境条件、菌种制备、定位出芝管理、病虫害防治、子实体采收、包装及贮运等质量控制技术要求。</w:t>
      </w:r>
    </w:p>
    <w:p>
      <w:pPr>
        <w:pStyle w:val="58"/>
        <w:ind w:firstLine="420"/>
        <w:rPr>
          <w:rFonts w:ascii="Times New Roman"/>
        </w:rPr>
      </w:pPr>
      <w:r>
        <w:rPr>
          <w:rFonts w:hint="eastAsia"/>
        </w:rPr>
        <w:t>本文件适用于人工栽培泰山灵芝的质量控制管理</w:t>
      </w:r>
      <w:r>
        <w:rPr>
          <w:rFonts w:ascii="Times New Roman"/>
        </w:rPr>
        <w:t>。</w:t>
      </w:r>
    </w:p>
    <w:p>
      <w:pPr>
        <w:pStyle w:val="106"/>
        <w:spacing w:before="312" w:after="312"/>
      </w:pPr>
      <w:bookmarkStart w:id="37" w:name="_Toc26986772"/>
      <w:bookmarkStart w:id="38" w:name="_Toc26718931"/>
      <w:bookmarkStart w:id="39" w:name="_Toc269865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EA264AB3AC924560A60287FF895C427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ind w:firstLine="420"/>
        <w:rPr>
          <w:rFonts w:hint="eastAsia" w:eastAsia="宋体"/>
          <w:lang w:eastAsia="zh-CN"/>
        </w:rPr>
      </w:pPr>
      <w:r>
        <w:rPr>
          <w:rFonts w:hint="eastAsia"/>
        </w:rPr>
        <w:t>GB</w:t>
      </w:r>
      <w:r>
        <w:rPr>
          <w:rFonts w:hAnsi="Calibri"/>
        </w:rPr>
        <w:t>/T</w:t>
      </w:r>
      <w:r>
        <w:rPr>
          <w:color w:val="000000" w:themeColor="text1"/>
          <w14:textFill>
            <w14:solidFill>
              <w14:schemeClr w14:val="tx1"/>
            </w14:solidFill>
          </w14:textFill>
        </w:rPr>
        <w:t> </w:t>
      </w:r>
      <w:r>
        <w:rPr>
          <w:rFonts w:hint="eastAsia"/>
        </w:rPr>
        <w:t>191</w:t>
      </w:r>
      <w:r>
        <w:rPr>
          <w:color w:val="000000" w:themeColor="text1"/>
          <w14:textFill>
            <w14:solidFill>
              <w14:schemeClr w14:val="tx1"/>
            </w14:solidFill>
          </w14:textFill>
        </w:rPr>
        <w:t>  </w:t>
      </w:r>
      <w:r>
        <w:rPr>
          <w:rFonts w:hint="eastAsia"/>
        </w:rPr>
        <w:t>包装</w:t>
      </w:r>
      <w:r>
        <w:rPr>
          <w:rFonts w:hint="eastAsia"/>
          <w:lang w:eastAsia="zh-CN"/>
        </w:rPr>
        <w:t>储</w:t>
      </w:r>
      <w:r>
        <w:rPr>
          <w:rFonts w:hint="eastAsia"/>
        </w:rPr>
        <w:t>运图示标</w:t>
      </w:r>
      <w:r>
        <w:rPr>
          <w:rFonts w:hint="eastAsia"/>
          <w:lang w:eastAsia="zh-CN"/>
        </w:rPr>
        <w:t>志</w:t>
      </w:r>
    </w:p>
    <w:p>
      <w:pPr>
        <w:pStyle w:val="58"/>
        <w:ind w:firstLine="420"/>
      </w:pPr>
      <w:r>
        <w:rPr>
          <w:rFonts w:hint="eastAsia"/>
        </w:rPr>
        <w:t>GB</w:t>
      </w:r>
      <w:r>
        <w:rPr>
          <w:color w:val="000000" w:themeColor="text1"/>
          <w14:textFill>
            <w14:solidFill>
              <w14:schemeClr w14:val="tx1"/>
            </w14:solidFill>
          </w14:textFill>
        </w:rPr>
        <w:t> </w:t>
      </w:r>
      <w:r>
        <w:rPr>
          <w:rFonts w:hint="eastAsia"/>
        </w:rPr>
        <w:t>2763</w:t>
      </w:r>
      <w:r>
        <w:rPr>
          <w:color w:val="000000" w:themeColor="text1"/>
          <w14:textFill>
            <w14:solidFill>
              <w14:schemeClr w14:val="tx1"/>
            </w14:solidFill>
          </w14:textFill>
        </w:rPr>
        <w:t>  </w:t>
      </w:r>
      <w:r>
        <w:rPr>
          <w:rFonts w:hint="eastAsia"/>
        </w:rPr>
        <w:t>食品安全国家标准</w:t>
      </w:r>
      <w:r>
        <w:rPr>
          <w:color w:val="000000" w:themeColor="text1"/>
          <w14:textFill>
            <w14:solidFill>
              <w14:schemeClr w14:val="tx1"/>
            </w14:solidFill>
          </w14:textFill>
        </w:rPr>
        <w:t> </w:t>
      </w:r>
      <w:r>
        <w:rPr>
          <w:rFonts w:hint="eastAsia"/>
        </w:rPr>
        <w:t>食品中农药最大残留限量</w:t>
      </w:r>
    </w:p>
    <w:p>
      <w:pPr>
        <w:pStyle w:val="58"/>
        <w:ind w:firstLine="420"/>
      </w:pPr>
      <w:r>
        <w:t>GB</w:t>
      </w:r>
      <w:r>
        <w:rPr>
          <w:color w:val="000000" w:themeColor="text1"/>
          <w14:textFill>
            <w14:solidFill>
              <w14:schemeClr w14:val="tx1"/>
            </w14:solidFill>
          </w14:textFill>
        </w:rPr>
        <w:t> </w:t>
      </w:r>
      <w:r>
        <w:t>3095</w:t>
      </w:r>
      <w:r>
        <w:rPr>
          <w:color w:val="000000" w:themeColor="text1"/>
          <w14:textFill>
            <w14:solidFill>
              <w14:schemeClr w14:val="tx1"/>
            </w14:solidFill>
          </w14:textFill>
        </w:rPr>
        <w:t>  </w:t>
      </w:r>
      <w:r>
        <w:t>环境空气质量标准</w:t>
      </w:r>
    </w:p>
    <w:p>
      <w:pPr>
        <w:pStyle w:val="58"/>
        <w:ind w:firstLine="420"/>
      </w:pPr>
      <w:r>
        <w:rPr>
          <w:rFonts w:hint="eastAsia"/>
        </w:rPr>
        <w:t>G</w:t>
      </w:r>
      <w:r>
        <w:t>B</w:t>
      </w:r>
      <w:r>
        <w:rPr>
          <w:color w:val="000000" w:themeColor="text1"/>
          <w14:textFill>
            <w14:solidFill>
              <w14:schemeClr w14:val="tx1"/>
            </w14:solidFill>
          </w14:textFill>
        </w:rPr>
        <w:t> </w:t>
      </w:r>
      <w:r>
        <w:t>4789.28</w:t>
      </w:r>
      <w:r>
        <w:rPr>
          <w:color w:val="000000" w:themeColor="text1"/>
          <w14:textFill>
            <w14:solidFill>
              <w14:schemeClr w14:val="tx1"/>
            </w14:solidFill>
          </w14:textFill>
        </w:rPr>
        <w:t>  </w:t>
      </w:r>
      <w:r>
        <w:t>食品安全国家标准</w:t>
      </w:r>
      <w:r>
        <w:rPr>
          <w:color w:val="000000" w:themeColor="text1"/>
          <w14:textFill>
            <w14:solidFill>
              <w14:schemeClr w14:val="tx1"/>
            </w14:solidFill>
          </w14:textFill>
        </w:rPr>
        <w:t> </w:t>
      </w:r>
      <w:r>
        <w:rPr>
          <w:rFonts w:hint="eastAsia"/>
        </w:rPr>
        <w:t>食品微生物学检验培养基和试剂的质量要求</w:t>
      </w:r>
    </w:p>
    <w:p>
      <w:pPr>
        <w:pStyle w:val="58"/>
        <w:ind w:firstLine="420"/>
      </w:pPr>
      <w:r>
        <w:t>GB</w:t>
      </w:r>
      <w:r>
        <w:rPr>
          <w:color w:val="000000" w:themeColor="text1"/>
          <w14:textFill>
            <w14:solidFill>
              <w14:schemeClr w14:val="tx1"/>
            </w14:solidFill>
          </w14:textFill>
        </w:rPr>
        <w:t> </w:t>
      </w:r>
      <w:r>
        <w:t>4806.7</w:t>
      </w:r>
      <w:r>
        <w:rPr>
          <w:color w:val="000000" w:themeColor="text1"/>
          <w14:textFill>
            <w14:solidFill>
              <w14:schemeClr w14:val="tx1"/>
            </w14:solidFill>
          </w14:textFill>
        </w:rPr>
        <w:t>  </w:t>
      </w:r>
      <w:r>
        <w:t>食品国家安全标准</w:t>
      </w:r>
      <w:r>
        <w:rPr>
          <w:color w:val="000000" w:themeColor="text1"/>
          <w14:textFill>
            <w14:solidFill>
              <w14:schemeClr w14:val="tx1"/>
            </w14:solidFill>
          </w14:textFill>
        </w:rPr>
        <w:t> </w:t>
      </w:r>
      <w:r>
        <w:t>食品接触用塑料材料及制品</w:t>
      </w:r>
    </w:p>
    <w:p>
      <w:pPr>
        <w:pStyle w:val="58"/>
        <w:ind w:firstLine="420"/>
      </w:pPr>
      <w:r>
        <w:t>GB</w:t>
      </w:r>
      <w:r>
        <w:rPr>
          <w:color w:val="000000" w:themeColor="text1"/>
          <w14:textFill>
            <w14:solidFill>
              <w14:schemeClr w14:val="tx1"/>
            </w14:solidFill>
          </w14:textFill>
        </w:rPr>
        <w:t> </w:t>
      </w:r>
      <w:r>
        <w:t>5749</w:t>
      </w:r>
      <w:r>
        <w:rPr>
          <w:color w:val="000000" w:themeColor="text1"/>
          <w14:textFill>
            <w14:solidFill>
              <w14:schemeClr w14:val="tx1"/>
            </w14:solidFill>
          </w14:textFill>
        </w:rPr>
        <w:t>  </w:t>
      </w:r>
      <w:r>
        <w:t>生活饮用水卫生标准</w:t>
      </w:r>
    </w:p>
    <w:p>
      <w:pPr>
        <w:pStyle w:val="58"/>
        <w:ind w:firstLine="420"/>
      </w:pPr>
      <w:r>
        <w:rPr>
          <w:rFonts w:hint="eastAsia"/>
        </w:rPr>
        <w:t>G</w:t>
      </w:r>
      <w:r>
        <w:t>B</w:t>
      </w:r>
      <w:r>
        <w:rPr>
          <w:color w:val="000000" w:themeColor="text1"/>
          <w14:textFill>
            <w14:solidFill>
              <w14:schemeClr w14:val="tx1"/>
            </w14:solidFill>
          </w14:textFill>
        </w:rPr>
        <w:t> </w:t>
      </w:r>
      <w:r>
        <w:t>9683</w:t>
      </w:r>
      <w:r>
        <w:rPr>
          <w:color w:val="000000" w:themeColor="text1"/>
          <w14:textFill>
            <w14:solidFill>
              <w14:schemeClr w14:val="tx1"/>
            </w14:solidFill>
          </w14:textFill>
        </w:rPr>
        <w:t>  </w:t>
      </w:r>
      <w:r>
        <w:rPr>
          <w:rFonts w:hint="eastAsia"/>
        </w:rPr>
        <w:t>复合食品包装袋卫生标准</w:t>
      </w:r>
    </w:p>
    <w:p>
      <w:pPr>
        <w:pStyle w:val="58"/>
        <w:ind w:firstLine="420"/>
        <w:rPr>
          <w:rFonts w:hint="eastAsia"/>
        </w:rPr>
      </w:pPr>
      <w:r>
        <w:rPr>
          <w:rFonts w:hint="eastAsia"/>
        </w:rPr>
        <w:t>GB</w:t>
      </w:r>
      <w:r>
        <w:rPr>
          <w:rFonts w:hAnsi="Calibri"/>
        </w:rPr>
        <w:t>/T</w:t>
      </w:r>
      <w:r>
        <w:rPr>
          <w:color w:val="000000" w:themeColor="text1"/>
          <w14:textFill>
            <w14:solidFill>
              <w14:schemeClr w14:val="tx1"/>
            </w14:solidFill>
          </w14:textFill>
        </w:rPr>
        <w:t> </w:t>
      </w:r>
      <w:r>
        <w:rPr>
          <w:rFonts w:hint="eastAsia"/>
        </w:rPr>
        <w:t>12728</w:t>
      </w:r>
      <w:r>
        <w:rPr>
          <w:color w:val="000000" w:themeColor="text1"/>
          <w14:textFill>
            <w14:solidFill>
              <w14:schemeClr w14:val="tx1"/>
            </w14:solidFill>
          </w14:textFill>
        </w:rPr>
        <w:t>  </w:t>
      </w:r>
      <w:r>
        <w:rPr>
          <w:rFonts w:hint="eastAsia"/>
        </w:rPr>
        <w:t>食用菌术语</w:t>
      </w:r>
    </w:p>
    <w:p>
      <w:pPr>
        <w:pStyle w:val="58"/>
        <w:ind w:firstLine="420"/>
      </w:pPr>
      <w:r>
        <w:rPr>
          <w:rFonts w:hint="eastAsia"/>
        </w:rPr>
        <w:t>G</w:t>
      </w:r>
      <w:r>
        <w:t>B</w:t>
      </w:r>
      <w:r>
        <w:rPr>
          <w:color w:val="000000" w:themeColor="text1"/>
          <w14:textFill>
            <w14:solidFill>
              <w14:schemeClr w14:val="tx1"/>
            </w14:solidFill>
          </w14:textFill>
        </w:rPr>
        <w:t> </w:t>
      </w:r>
      <w:r>
        <w:t>14881</w:t>
      </w:r>
      <w:r>
        <w:rPr>
          <w:color w:val="000000" w:themeColor="text1"/>
          <w14:textFill>
            <w14:solidFill>
              <w14:schemeClr w14:val="tx1"/>
            </w14:solidFill>
          </w14:textFill>
        </w:rPr>
        <w:t>  </w:t>
      </w:r>
      <w:r>
        <w:rPr>
          <w:rFonts w:hint="eastAsia"/>
        </w:rPr>
        <w:t>食品安全国家标准</w:t>
      </w:r>
      <w:r>
        <w:rPr>
          <w:color w:val="000000" w:themeColor="text1"/>
          <w14:textFill>
            <w14:solidFill>
              <w14:schemeClr w14:val="tx1"/>
            </w14:solidFill>
          </w14:textFill>
        </w:rPr>
        <w:t> </w:t>
      </w:r>
      <w:r>
        <w:rPr>
          <w:rFonts w:hint="eastAsia"/>
        </w:rPr>
        <w:t>食品生产通用卫生规范</w:t>
      </w:r>
    </w:p>
    <w:p>
      <w:pPr>
        <w:pStyle w:val="58"/>
        <w:ind w:firstLine="420"/>
        <w:rPr>
          <w:rFonts w:hAnsi="Calibri"/>
        </w:rPr>
      </w:pPr>
      <w:r>
        <w:rPr>
          <w:rFonts w:hAnsi="Calibri"/>
        </w:rPr>
        <w:t>NY/T</w:t>
      </w:r>
      <w:r>
        <w:rPr>
          <w:color w:val="000000" w:themeColor="text1"/>
          <w14:textFill>
            <w14:solidFill>
              <w14:schemeClr w14:val="tx1"/>
            </w14:solidFill>
          </w14:textFill>
        </w:rPr>
        <w:t> </w:t>
      </w:r>
      <w:r>
        <w:rPr>
          <w:rFonts w:hAnsi="Calibri"/>
        </w:rPr>
        <w:t>528</w:t>
      </w:r>
      <w:r>
        <w:rPr>
          <w:color w:val="000000" w:themeColor="text1"/>
          <w14:textFill>
            <w14:solidFill>
              <w14:schemeClr w14:val="tx1"/>
            </w14:solidFill>
          </w14:textFill>
        </w:rPr>
        <w:t>  </w:t>
      </w:r>
      <w:r>
        <w:rPr>
          <w:rFonts w:hAnsi="Calibri"/>
        </w:rPr>
        <w:t>食用菌菌种生产技术规程</w:t>
      </w:r>
    </w:p>
    <w:p>
      <w:pPr>
        <w:pStyle w:val="58"/>
        <w:ind w:firstLine="420"/>
      </w:pPr>
      <w:r>
        <w:rPr>
          <w:rFonts w:hint="eastAsia"/>
        </w:rPr>
        <w:t>NY/T</w:t>
      </w:r>
      <w:r>
        <w:rPr>
          <w:color w:val="000000" w:themeColor="text1"/>
          <w14:textFill>
            <w14:solidFill>
              <w14:schemeClr w14:val="tx1"/>
            </w14:solidFill>
          </w14:textFill>
        </w:rPr>
        <w:t> </w:t>
      </w:r>
      <w:r>
        <w:rPr>
          <w:rFonts w:hint="eastAsia"/>
        </w:rPr>
        <w:t>1731</w:t>
      </w:r>
      <w:r>
        <w:rPr>
          <w:color w:val="000000" w:themeColor="text1"/>
          <w14:textFill>
            <w14:solidFill>
              <w14:schemeClr w14:val="tx1"/>
            </w14:solidFill>
          </w14:textFill>
        </w:rPr>
        <w:t>  </w:t>
      </w:r>
      <w:r>
        <w:rPr>
          <w:rFonts w:hint="eastAsia"/>
        </w:rPr>
        <w:t>食用菌菌种良好作业规范</w:t>
      </w:r>
    </w:p>
    <w:p>
      <w:pPr>
        <w:pStyle w:val="58"/>
        <w:ind w:firstLine="420"/>
      </w:pPr>
      <w:r>
        <w:rPr>
          <w:rFonts w:hint="eastAsia"/>
        </w:rPr>
        <w:t>NY/T</w:t>
      </w:r>
      <w:r>
        <w:rPr>
          <w:color w:val="000000" w:themeColor="text1"/>
          <w14:textFill>
            <w14:solidFill>
              <w14:schemeClr w14:val="tx1"/>
            </w14:solidFill>
          </w14:textFill>
        </w:rPr>
        <w:t> </w:t>
      </w:r>
      <w:r>
        <w:rPr>
          <w:rFonts w:hint="eastAsia"/>
        </w:rPr>
        <w:t>17</w:t>
      </w:r>
      <w:r>
        <w:t>42</w:t>
      </w:r>
      <w:r>
        <w:rPr>
          <w:color w:val="000000" w:themeColor="text1"/>
          <w14:textFill>
            <w14:solidFill>
              <w14:schemeClr w14:val="tx1"/>
            </w14:solidFill>
          </w14:textFill>
        </w:rPr>
        <w:t>  </w:t>
      </w:r>
      <w:r>
        <w:rPr>
          <w:rFonts w:hint="eastAsia"/>
        </w:rPr>
        <w:t>食用菌菌种通用技术要求</w:t>
      </w:r>
    </w:p>
    <w:p>
      <w:pPr>
        <w:pStyle w:val="58"/>
        <w:ind w:firstLine="420"/>
      </w:pPr>
      <w:r>
        <w:fldChar w:fldCharType="begin"/>
      </w:r>
      <w:r>
        <w:instrText xml:space="preserve"> HYPERLINK "https://www.11bz.com/a/368403.html" \t "https://www.11bz.com/_blank" </w:instrText>
      </w:r>
      <w:r>
        <w:fldChar w:fldCharType="separate"/>
      </w:r>
      <w:r>
        <w:rPr>
          <w:rFonts w:hint="eastAsia"/>
        </w:rPr>
        <w:t>NY/T</w:t>
      </w:r>
      <w:r>
        <w:rPr>
          <w:color w:val="000000" w:themeColor="text1"/>
          <w14:textFill>
            <w14:solidFill>
              <w14:schemeClr w14:val="tx1"/>
            </w14:solidFill>
          </w14:textFill>
        </w:rPr>
        <w:t> </w:t>
      </w:r>
      <w:r>
        <w:rPr>
          <w:rFonts w:hint="eastAsia"/>
        </w:rPr>
        <w:t>5010</w:t>
      </w:r>
      <w:r>
        <w:rPr>
          <w:color w:val="000000" w:themeColor="text1"/>
          <w14:textFill>
            <w14:solidFill>
              <w14:schemeClr w14:val="tx1"/>
            </w14:solidFill>
          </w14:textFill>
        </w:rPr>
        <w:t>  </w:t>
      </w:r>
      <w:r>
        <w:rPr>
          <w:rFonts w:hint="eastAsia"/>
        </w:rPr>
        <w:t>无公害农产品</w:t>
      </w:r>
      <w:r>
        <w:rPr>
          <w:color w:val="000000" w:themeColor="text1"/>
          <w14:textFill>
            <w14:solidFill>
              <w14:schemeClr w14:val="tx1"/>
            </w14:solidFill>
          </w14:textFill>
        </w:rPr>
        <w:t> </w:t>
      </w:r>
      <w:r>
        <w:rPr>
          <w:rFonts w:hint="eastAsia"/>
        </w:rPr>
        <w:t>种植业产地环境条件</w:t>
      </w:r>
      <w:r>
        <w:rPr>
          <w:rFonts w:hint="eastAsia"/>
        </w:rPr>
        <w:fldChar w:fldCharType="end"/>
      </w:r>
    </w:p>
    <w:p>
      <w:pPr>
        <w:pStyle w:val="58"/>
        <w:ind w:firstLine="420"/>
      </w:pPr>
      <w:bookmarkStart w:id="40" w:name="_Hlk117190588"/>
      <w:r>
        <w:t>NY</w:t>
      </w:r>
      <w:r>
        <w:rPr>
          <w:color w:val="000000" w:themeColor="text1"/>
          <w14:textFill>
            <w14:solidFill>
              <w14:schemeClr w14:val="tx1"/>
            </w14:solidFill>
          </w14:textFill>
        </w:rPr>
        <w:t> </w:t>
      </w:r>
      <w:r>
        <w:t>5099</w:t>
      </w:r>
      <w:bookmarkEnd w:id="40"/>
      <w:r>
        <w:rPr>
          <w:color w:val="000000" w:themeColor="text1"/>
          <w14:textFill>
            <w14:solidFill>
              <w14:schemeClr w14:val="tx1"/>
            </w14:solidFill>
          </w14:textFill>
        </w:rPr>
        <w:t>  </w:t>
      </w:r>
      <w:r>
        <w:t>无公害食品</w:t>
      </w:r>
      <w:r>
        <w:rPr>
          <w:color w:val="000000" w:themeColor="text1"/>
          <w14:textFill>
            <w14:solidFill>
              <w14:schemeClr w14:val="tx1"/>
            </w14:solidFill>
          </w14:textFill>
        </w:rPr>
        <w:t> </w:t>
      </w:r>
      <w:r>
        <w:t>食用菌栽培基质安全技术要求</w:t>
      </w:r>
    </w:p>
    <w:p>
      <w:pPr>
        <w:pStyle w:val="58"/>
        <w:ind w:firstLine="420"/>
      </w:pPr>
      <w:r>
        <w:rPr>
          <w:rFonts w:hint="eastAsia"/>
        </w:rPr>
        <w:t>D</w:t>
      </w:r>
      <w:r>
        <w:t>B37/T</w:t>
      </w:r>
      <w:r>
        <w:rPr>
          <w:color w:val="000000" w:themeColor="text1"/>
          <w14:textFill>
            <w14:solidFill>
              <w14:schemeClr w14:val="tx1"/>
            </w14:solidFill>
          </w14:textFill>
        </w:rPr>
        <w:t> </w:t>
      </w:r>
      <w:r>
        <w:t>1984</w:t>
      </w:r>
      <w:r>
        <w:rPr>
          <w:color w:val="000000" w:themeColor="text1"/>
          <w14:textFill>
            <w14:solidFill>
              <w14:schemeClr w14:val="tx1"/>
            </w14:solidFill>
          </w14:textFill>
        </w:rPr>
        <w:t>  </w:t>
      </w:r>
      <w:r>
        <w:rPr>
          <w:rFonts w:hint="eastAsia"/>
        </w:rPr>
        <w:t>泰山赤灵芝孢子粉采收加工技术规范</w:t>
      </w:r>
    </w:p>
    <w:p>
      <w:pPr>
        <w:pStyle w:val="58"/>
        <w:ind w:firstLine="420"/>
      </w:pPr>
      <w:r>
        <w:t>DB37/T</w:t>
      </w:r>
      <w:r>
        <w:rPr>
          <w:color w:val="000000" w:themeColor="text1"/>
          <w14:textFill>
            <w14:solidFill>
              <w14:schemeClr w14:val="tx1"/>
            </w14:solidFill>
          </w14:textFill>
        </w:rPr>
        <w:t> </w:t>
      </w:r>
      <w:r>
        <w:t>4252</w:t>
      </w:r>
      <w:r>
        <w:rPr>
          <w:color w:val="000000" w:themeColor="text1"/>
          <w14:textFill>
            <w14:solidFill>
              <w14:schemeClr w14:val="tx1"/>
            </w14:solidFill>
          </w14:textFill>
        </w:rPr>
        <w:t>  </w:t>
      </w:r>
      <w:r>
        <w:rPr>
          <w:rFonts w:hint="eastAsia"/>
        </w:rPr>
        <w:t>灵芝菌种质量要求</w:t>
      </w:r>
    </w:p>
    <w:p>
      <w:pPr>
        <w:pStyle w:val="106"/>
        <w:spacing w:before="312" w:after="312"/>
      </w:pPr>
      <w:r>
        <w:rPr>
          <w:rFonts w:hint="eastAsia"/>
        </w:rPr>
        <w:t>术语和定义</w:t>
      </w:r>
    </w:p>
    <w:p>
      <w:pPr>
        <w:pStyle w:val="58"/>
        <w:ind w:firstLine="420"/>
      </w:pPr>
      <w:r>
        <w:rPr>
          <w:rFonts w:hint="eastAsia"/>
        </w:rPr>
        <w:t>下列术语和定义适用于本文件。</w:t>
      </w:r>
    </w:p>
    <w:p>
      <w:pPr>
        <w:pStyle w:val="225"/>
        <w:ind w:left="420" w:hanging="420" w:hangingChars="200"/>
        <w:rPr>
          <w:rFonts w:ascii="黑体" w:hAnsi="黑体" w:eastAsia="黑体"/>
        </w:rPr>
      </w:pPr>
      <w:r>
        <w:rPr>
          <w:rFonts w:ascii="黑体" w:hAnsi="黑体" w:eastAsia="黑体"/>
          <w:lang w:bidi="ar"/>
        </w:rPr>
        <w:br w:type="textWrapping"/>
      </w:r>
      <w:r>
        <w:rPr>
          <w:rFonts w:ascii="黑体" w:hAnsi="黑体" w:eastAsia="黑体"/>
          <w:lang w:bidi="ar"/>
        </w:rPr>
        <w:t xml:space="preserve">泰山灵芝 Taishan Ganoderma lingzhi </w:t>
      </w:r>
    </w:p>
    <w:p>
      <w:pPr>
        <w:pStyle w:val="58"/>
        <w:ind w:firstLine="420"/>
      </w:pPr>
      <w:r>
        <w:rPr>
          <w:rFonts w:hint="eastAsia"/>
        </w:rPr>
        <w:t>又名泰山赤灵芝，源生于泰山，属于泰山独有的赤灵芝品种，为担子菌亚门（Basidiomycotina）、层菌纲（Hymenomycetes）、非褶菌目（Aphyllophorales）、灵芝菌科（Ganodermataceae）、灵芝属（</w:t>
      </w:r>
      <w:r>
        <w:rPr>
          <w:rFonts w:hint="eastAsia"/>
          <w:i/>
          <w:iCs/>
        </w:rPr>
        <w:t>Ganoderma</w:t>
      </w:r>
      <w:r>
        <w:rPr>
          <w:rFonts w:hint="eastAsia"/>
        </w:rPr>
        <w:t xml:space="preserve">）真菌。 </w:t>
      </w:r>
    </w:p>
    <w:p>
      <w:pPr>
        <w:pStyle w:val="106"/>
        <w:spacing w:before="312" w:after="312"/>
      </w:pPr>
      <w:r>
        <w:rPr>
          <w:rFonts w:hint="eastAsia"/>
        </w:rPr>
        <w:t>环境条件</w:t>
      </w:r>
      <w:bookmarkStart w:id="41" w:name="_Toc106271997"/>
      <w:bookmarkStart w:id="42" w:name="_Toc106271958"/>
    </w:p>
    <w:p>
      <w:pPr>
        <w:pStyle w:val="58"/>
        <w:ind w:firstLine="420"/>
        <w:rPr>
          <w:rFonts w:hAnsi="Calibri"/>
        </w:rPr>
      </w:pPr>
      <w:r>
        <w:rPr>
          <w:rFonts w:hint="eastAsia" w:hAnsi="Calibri"/>
        </w:rPr>
        <w:t>菌种制备、菌包制作</w:t>
      </w:r>
      <w:bookmarkEnd w:id="41"/>
      <w:bookmarkEnd w:id="42"/>
      <w:r>
        <w:rPr>
          <w:rFonts w:hint="eastAsia" w:hAnsi="Calibri"/>
        </w:rPr>
        <w:t>、栽培管理用水</w:t>
      </w:r>
      <w:r>
        <w:rPr>
          <w:rFonts w:hAnsi="Calibri"/>
        </w:rPr>
        <w:t>应符合GB</w:t>
      </w:r>
      <w:r>
        <w:rPr>
          <w:color w:val="000000" w:themeColor="text1"/>
          <w14:textFill>
            <w14:solidFill>
              <w14:schemeClr w14:val="tx1"/>
            </w14:solidFill>
          </w14:textFill>
        </w:rPr>
        <w:t> </w:t>
      </w:r>
      <w:r>
        <w:rPr>
          <w:rFonts w:hAnsi="Calibri"/>
        </w:rPr>
        <w:t>5749的规定</w:t>
      </w:r>
      <w:bookmarkStart w:id="43" w:name="_Toc106271998"/>
      <w:bookmarkStart w:id="44" w:name="_Toc106271959"/>
      <w:r>
        <w:rPr>
          <w:rFonts w:hint="eastAsia" w:hAnsi="Calibri"/>
        </w:rPr>
        <w:t>，空气质量</w:t>
      </w:r>
      <w:bookmarkEnd w:id="43"/>
      <w:bookmarkEnd w:id="44"/>
      <w:r>
        <w:rPr>
          <w:rFonts w:hAnsi="Calibri"/>
        </w:rPr>
        <w:t>应符合GB</w:t>
      </w:r>
      <w:r>
        <w:rPr>
          <w:color w:val="000000" w:themeColor="text1"/>
          <w14:textFill>
            <w14:solidFill>
              <w14:schemeClr w14:val="tx1"/>
            </w14:solidFill>
          </w14:textFill>
        </w:rPr>
        <w:t> </w:t>
      </w:r>
      <w:r>
        <w:rPr>
          <w:rFonts w:hAnsi="Calibri"/>
        </w:rPr>
        <w:t>3095</w:t>
      </w:r>
      <w:r>
        <w:rPr>
          <w:rFonts w:hint="eastAsia" w:hAnsi="Calibri"/>
        </w:rPr>
        <w:t>的</w:t>
      </w:r>
      <w:r>
        <w:rPr>
          <w:rFonts w:hAnsi="Calibri"/>
        </w:rPr>
        <w:t>规定</w:t>
      </w:r>
      <w:r>
        <w:rPr>
          <w:rFonts w:hint="eastAsia" w:hAnsi="Calibri"/>
        </w:rPr>
        <w:t>，土壤环境</w:t>
      </w:r>
      <w:r>
        <w:rPr>
          <w:rFonts w:hAnsi="Calibri"/>
        </w:rPr>
        <w:t>应符合</w:t>
      </w:r>
      <w:r>
        <w:fldChar w:fldCharType="begin"/>
      </w:r>
      <w:r>
        <w:instrText xml:space="preserve"> HYPERLINK "https://www.11bz.com/a/368403.html" \t "https://www.11bz.com/_blank" </w:instrText>
      </w:r>
      <w:r>
        <w:fldChar w:fldCharType="separate"/>
      </w:r>
      <w:r>
        <w:rPr>
          <w:rFonts w:hAnsi="Calibri"/>
        </w:rPr>
        <w:t>NY/T</w:t>
      </w:r>
      <w:r>
        <w:rPr>
          <w:color w:val="000000" w:themeColor="text1"/>
          <w14:textFill>
            <w14:solidFill>
              <w14:schemeClr w14:val="tx1"/>
            </w14:solidFill>
          </w14:textFill>
        </w:rPr>
        <w:t> </w:t>
      </w:r>
      <w:r>
        <w:rPr>
          <w:rFonts w:hAnsi="Calibri"/>
        </w:rPr>
        <w:t>5010</w:t>
      </w:r>
      <w:r>
        <w:rPr>
          <w:rFonts w:hAnsi="Calibri"/>
        </w:rPr>
        <w:fldChar w:fldCharType="end"/>
      </w:r>
      <w:r>
        <w:rPr>
          <w:rFonts w:hint="eastAsia" w:hAnsi="Calibri"/>
        </w:rPr>
        <w:t>的</w:t>
      </w:r>
      <w:r>
        <w:rPr>
          <w:rFonts w:hAnsi="Calibri"/>
        </w:rPr>
        <w:t>规定。</w:t>
      </w:r>
    </w:p>
    <w:p>
      <w:pPr>
        <w:pStyle w:val="106"/>
        <w:spacing w:before="312" w:after="312"/>
      </w:pPr>
      <w:r>
        <w:rPr>
          <w:rFonts w:hint="eastAsia"/>
        </w:rPr>
        <w:t>菌种制备</w:t>
      </w:r>
    </w:p>
    <w:p>
      <w:pPr>
        <w:pStyle w:val="58"/>
        <w:ind w:firstLine="420"/>
      </w:pPr>
      <w:r>
        <w:rPr>
          <w:rFonts w:hint="eastAsia"/>
        </w:rPr>
        <w:t>菌种制备分为母种制备、原种制备（分为固体菌种和液体菌种）和栽培种制备，菌种制备应符合</w:t>
      </w:r>
      <w:r>
        <w:rPr>
          <w:rFonts w:hint="eastAsia" w:hAnsi="Calibri"/>
        </w:rPr>
        <w:t>NY/T</w:t>
      </w:r>
      <w:r>
        <w:rPr>
          <w:color w:val="000000" w:themeColor="text1"/>
          <w14:textFill>
            <w14:solidFill>
              <w14:schemeClr w14:val="tx1"/>
            </w14:solidFill>
          </w14:textFill>
        </w:rPr>
        <w:t> </w:t>
      </w:r>
      <w:r>
        <w:rPr>
          <w:rFonts w:hint="eastAsia" w:hAnsi="Calibri"/>
        </w:rPr>
        <w:t>528和NY/T</w:t>
      </w:r>
      <w:r>
        <w:rPr>
          <w:color w:val="000000" w:themeColor="text1"/>
          <w14:textFill>
            <w14:solidFill>
              <w14:schemeClr w14:val="tx1"/>
            </w14:solidFill>
          </w14:textFill>
        </w:rPr>
        <w:t> </w:t>
      </w:r>
      <w:r>
        <w:rPr>
          <w:rFonts w:hint="eastAsia" w:hAnsi="Calibri"/>
        </w:rPr>
        <w:t>1731的要</w:t>
      </w:r>
      <w:r>
        <w:rPr>
          <w:rFonts w:hint="eastAsia" w:ascii="Times New Roman"/>
        </w:rPr>
        <w:t>求。</w:t>
      </w:r>
    </w:p>
    <w:p>
      <w:pPr>
        <w:pStyle w:val="107"/>
        <w:spacing w:before="156" w:after="156"/>
      </w:pPr>
      <w:r>
        <w:rPr>
          <w:rFonts w:hint="eastAsia"/>
        </w:rPr>
        <w:t>仪器设备</w:t>
      </w:r>
    </w:p>
    <w:p>
      <w:pPr>
        <w:pStyle w:val="58"/>
        <w:ind w:firstLine="420"/>
      </w:pPr>
      <w:r>
        <w:t>1000 </w:t>
      </w:r>
      <w:r>
        <w:rPr>
          <w:rFonts w:hint="eastAsia"/>
        </w:rPr>
        <w:t>mL</w:t>
      </w:r>
      <w:r>
        <w:t>三角</w:t>
      </w:r>
      <w:r>
        <w:rPr>
          <w:rFonts w:hint="eastAsia"/>
        </w:rPr>
        <w:t>烧</w:t>
      </w:r>
      <w:r>
        <w:t>瓶、玻璃试管</w:t>
      </w:r>
      <w:r>
        <w:rPr>
          <w:rFonts w:hint="eastAsia"/>
        </w:rPr>
        <w:t>（</w:t>
      </w:r>
      <w:r>
        <w:t>规格18 </w:t>
      </w:r>
      <w:r>
        <w:rPr>
          <w:rFonts w:hint="eastAsia"/>
        </w:rPr>
        <w:t>mm</w:t>
      </w:r>
      <w:r>
        <w:t>×180 </w:t>
      </w:r>
      <w:r>
        <w:rPr>
          <w:rFonts w:hint="eastAsia"/>
        </w:rPr>
        <w:t>mm</w:t>
      </w:r>
      <w:r>
        <w:t>或20 </w:t>
      </w:r>
      <w:r>
        <w:rPr>
          <w:rFonts w:hint="eastAsia"/>
        </w:rPr>
        <w:t>mm</w:t>
      </w:r>
      <w:r>
        <w:t>×200 </w:t>
      </w:r>
      <w:r>
        <w:rPr>
          <w:rFonts w:hint="eastAsia"/>
        </w:rPr>
        <w:t>mm）、原种瓶、菌种取菌器、天平、</w:t>
      </w:r>
      <w:r>
        <w:t>超净工作台、恒温摇床</w:t>
      </w:r>
      <w:r>
        <w:rPr>
          <w:rFonts w:hint="eastAsia"/>
        </w:rPr>
        <w:t>、</w:t>
      </w:r>
      <w:r>
        <w:t>液体菌种发酵罐、高压蒸汽灭菌锅等</w:t>
      </w:r>
      <w:r>
        <w:rPr>
          <w:rFonts w:hint="eastAsia"/>
        </w:rPr>
        <w:t>，仪器设备等质量应</w:t>
      </w:r>
      <w:r>
        <w:rPr>
          <w:rFonts w:hint="eastAsia" w:hAnsi="Calibri"/>
        </w:rPr>
        <w:t>符合</w:t>
      </w:r>
      <w:r>
        <w:rPr>
          <w:rFonts w:hAnsi="Calibri"/>
        </w:rPr>
        <w:t>GB</w:t>
      </w:r>
      <w:r>
        <w:t> </w:t>
      </w:r>
      <w:r>
        <w:rPr>
          <w:rFonts w:hAnsi="Calibri"/>
        </w:rPr>
        <w:t>4806.7</w:t>
      </w:r>
      <w:r>
        <w:rPr>
          <w:rFonts w:hint="eastAsia" w:hAnsi="Calibri"/>
        </w:rPr>
        <w:t>、</w:t>
      </w:r>
      <w:r>
        <w:rPr>
          <w:rFonts w:hAnsi="Calibri"/>
        </w:rPr>
        <w:t>NY/T 528</w:t>
      </w:r>
      <w:r>
        <w:rPr>
          <w:rFonts w:hint="eastAsia" w:hAnsi="Calibri"/>
        </w:rPr>
        <w:t>的</w:t>
      </w:r>
      <w:r>
        <w:rPr>
          <w:rFonts w:hint="eastAsia" w:ascii="Times New Roman"/>
        </w:rPr>
        <w:t>要求</w:t>
      </w:r>
      <w:r>
        <w:t>。</w:t>
      </w:r>
    </w:p>
    <w:p>
      <w:pPr>
        <w:pStyle w:val="107"/>
        <w:spacing w:before="156" w:after="156"/>
      </w:pPr>
      <w:r>
        <w:t>培养基原辅料</w:t>
      </w:r>
    </w:p>
    <w:p>
      <w:pPr>
        <w:pStyle w:val="58"/>
        <w:ind w:firstLine="420"/>
      </w:pPr>
      <w:bookmarkStart w:id="45" w:name="_Hlk117190659"/>
      <w:r>
        <w:rPr>
          <w:rFonts w:hint="eastAsia"/>
        </w:rPr>
        <w:t>培养基原辅材料</w:t>
      </w:r>
      <w:bookmarkEnd w:id="45"/>
      <w:r>
        <w:rPr>
          <w:rFonts w:hint="eastAsia"/>
        </w:rPr>
        <w:t>来源要相对固定，应新鲜、无污染、无虫无螨，农药残留和重金属</w:t>
      </w:r>
      <w:r>
        <w:rPr>
          <w:rFonts w:hint="eastAsia" w:hAnsi="Calibri"/>
        </w:rPr>
        <w:t>应符合</w:t>
      </w:r>
      <w:r>
        <w:rPr>
          <w:rFonts w:hAnsi="Calibri"/>
        </w:rPr>
        <w:t>NY</w:t>
      </w:r>
      <w:r>
        <w:t> </w:t>
      </w:r>
      <w:r>
        <w:rPr>
          <w:rFonts w:hAnsi="Calibri"/>
        </w:rPr>
        <w:t>5099</w:t>
      </w:r>
      <w:r>
        <w:rPr>
          <w:rFonts w:hint="eastAsia" w:hAnsi="Calibri"/>
        </w:rPr>
        <w:t>的</w:t>
      </w:r>
      <w:r>
        <w:rPr>
          <w:rFonts w:hint="eastAsia" w:ascii="Times New Roman"/>
        </w:rPr>
        <w:t>规定。</w:t>
      </w:r>
      <w:r>
        <w:rPr>
          <w:rFonts w:hint="eastAsia"/>
        </w:rPr>
        <w:t>培养基原辅材料实行定点、分类、分区、分批存放，标识明显，每批次抽检。</w:t>
      </w:r>
    </w:p>
    <w:p>
      <w:pPr>
        <w:pStyle w:val="107"/>
        <w:spacing w:before="156" w:after="156"/>
      </w:pPr>
      <w:r>
        <w:rPr>
          <w:rFonts w:hint="eastAsia"/>
        </w:rPr>
        <w:t>母种制备</w:t>
      </w:r>
    </w:p>
    <w:p>
      <w:pPr>
        <w:pStyle w:val="67"/>
        <w:spacing w:before="156" w:after="156"/>
      </w:pPr>
      <w:r>
        <w:rPr>
          <w:rFonts w:hint="eastAsia"/>
        </w:rPr>
        <w:t>培养基制备</w:t>
      </w:r>
    </w:p>
    <w:p>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培养基和试剂应符合G</w:t>
      </w:r>
      <w:r>
        <w:rPr>
          <w:color w:val="000000" w:themeColor="text1"/>
          <w14:textFill>
            <w14:solidFill>
              <w14:schemeClr w14:val="tx1"/>
            </w14:solidFill>
          </w14:textFill>
        </w:rPr>
        <w:t>B 4789.28</w:t>
      </w:r>
      <w:r>
        <w:rPr>
          <w:rFonts w:hint="eastAsia"/>
          <w:color w:val="000000" w:themeColor="text1"/>
          <w14:textFill>
            <w14:solidFill>
              <w14:schemeClr w14:val="tx1"/>
            </w14:solidFill>
          </w14:textFill>
        </w:rPr>
        <w:t>要求，培养基配方选用</w:t>
      </w:r>
      <w:r>
        <w:rPr>
          <w:color w:val="000000" w:themeColor="text1"/>
          <w14:textFill>
            <w14:solidFill>
              <w14:schemeClr w14:val="tx1"/>
            </w14:solidFill>
          </w14:textFill>
        </w:rPr>
        <w:t>马铃薯200 </w:t>
      </w:r>
      <w:r>
        <w:rPr>
          <w:rFonts w:hint="eastAsia"/>
          <w:color w:val="000000" w:themeColor="text1"/>
          <w14:textFill>
            <w14:solidFill>
              <w14:schemeClr w14:val="tx1"/>
            </w14:solidFill>
          </w14:textFill>
        </w:rPr>
        <w:t>g（</w:t>
      </w:r>
      <w:r>
        <w:rPr>
          <w:color w:val="000000" w:themeColor="text1"/>
          <w14:textFill>
            <w14:solidFill>
              <w14:schemeClr w14:val="tx1"/>
            </w14:solidFill>
          </w14:textFill>
        </w:rPr>
        <w:t>去皮煮汁</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麦麸</w:t>
      </w:r>
      <w:r>
        <w:rPr>
          <w:color w:val="000000" w:themeColor="text1"/>
          <w14:textFill>
            <w14:solidFill>
              <w14:schemeClr w14:val="tx1"/>
            </w14:solidFill>
          </w14:textFill>
        </w:rPr>
        <w:t>40 </w:t>
      </w:r>
      <w:r>
        <w:rPr>
          <w:rFonts w:hint="eastAsia"/>
          <w:color w:val="000000" w:themeColor="text1"/>
          <w14:textFill>
            <w14:solidFill>
              <w14:schemeClr w14:val="tx1"/>
            </w14:solidFill>
          </w14:textFill>
        </w:rPr>
        <w:t>g</w:t>
      </w:r>
      <w:r>
        <w:rPr>
          <w:color w:val="000000" w:themeColor="text1"/>
          <w14:textFill>
            <w14:solidFill>
              <w14:schemeClr w14:val="tx1"/>
            </w14:solidFill>
          </w14:textFill>
        </w:rPr>
        <w:t>（煮汁）、</w:t>
      </w:r>
      <w:r>
        <w:rPr>
          <w:rFonts w:hint="eastAsia"/>
          <w:color w:val="000000" w:themeColor="text1"/>
          <w14:textFill>
            <w14:solidFill>
              <w14:schemeClr w14:val="tx1"/>
            </w14:solidFill>
          </w14:textFill>
        </w:rPr>
        <w:t>蔗</w:t>
      </w:r>
      <w:r>
        <w:rPr>
          <w:color w:val="000000" w:themeColor="text1"/>
          <w14:textFill>
            <w14:solidFill>
              <w14:schemeClr w14:val="tx1"/>
            </w14:solidFill>
          </w14:textFill>
        </w:rPr>
        <w:t>糖</w:t>
      </w:r>
      <w:r>
        <w:rPr>
          <w:rFonts w:hint="eastAsia"/>
          <w:color w:val="000000" w:themeColor="text1"/>
          <w14:textFill>
            <w14:solidFill>
              <w14:schemeClr w14:val="tx1"/>
            </w14:solidFill>
          </w14:textFill>
        </w:rPr>
        <w:t>或葡萄糖</w:t>
      </w:r>
      <w:r>
        <w:rPr>
          <w:color w:val="000000" w:themeColor="text1"/>
          <w14:textFill>
            <w14:solidFill>
              <w14:schemeClr w14:val="tx1"/>
            </w14:solidFill>
          </w14:textFill>
        </w:rPr>
        <w:t>20 </w:t>
      </w:r>
      <w:r>
        <w:rPr>
          <w:rFonts w:hint="eastAsia"/>
          <w:color w:val="000000" w:themeColor="text1"/>
          <w14:textFill>
            <w14:solidFill>
              <w14:schemeClr w14:val="tx1"/>
            </w14:solidFill>
          </w14:textFill>
        </w:rPr>
        <w:t>g</w:t>
      </w:r>
      <w:r>
        <w:rPr>
          <w:color w:val="000000" w:themeColor="text1"/>
          <w14:textFill>
            <w14:solidFill>
              <w14:schemeClr w14:val="tx1"/>
            </w14:solidFill>
          </w14:textFill>
        </w:rPr>
        <w:t>、磷酸二氢钾3 </w:t>
      </w:r>
      <w:r>
        <w:rPr>
          <w:rFonts w:hint="eastAsia"/>
          <w:color w:val="000000" w:themeColor="text1"/>
          <w14:textFill>
            <w14:solidFill>
              <w14:schemeClr w14:val="tx1"/>
            </w14:solidFill>
          </w14:textFill>
        </w:rPr>
        <w:t>g</w:t>
      </w:r>
      <w:r>
        <w:rPr>
          <w:color w:val="000000" w:themeColor="text1"/>
          <w14:textFill>
            <w14:solidFill>
              <w14:schemeClr w14:val="tx1"/>
            </w14:solidFill>
          </w14:textFill>
        </w:rPr>
        <w:t>、硫酸镁1.5 </w:t>
      </w:r>
      <w:r>
        <w:rPr>
          <w:rFonts w:hint="eastAsia"/>
          <w:color w:val="000000" w:themeColor="text1"/>
          <w14:textFill>
            <w14:solidFill>
              <w14:schemeClr w14:val="tx1"/>
            </w14:solidFill>
          </w14:textFill>
        </w:rPr>
        <w:t>g</w:t>
      </w:r>
      <w:r>
        <w:rPr>
          <w:color w:val="000000" w:themeColor="text1"/>
          <w14:textFill>
            <w14:solidFill>
              <w14:schemeClr w14:val="tx1"/>
            </w14:solidFill>
          </w14:textFill>
        </w:rPr>
        <w:t>、琼脂20 </w:t>
      </w:r>
      <w:r>
        <w:rPr>
          <w:rFonts w:hint="eastAsia"/>
          <w:color w:val="000000" w:themeColor="text1"/>
          <w14:textFill>
            <w14:solidFill>
              <w14:schemeClr w14:val="tx1"/>
            </w14:solidFill>
          </w14:textFill>
        </w:rPr>
        <w:t>g</w:t>
      </w:r>
      <w:r>
        <w:rPr>
          <w:color w:val="000000" w:themeColor="text1"/>
          <w14:textFill>
            <w14:solidFill>
              <w14:schemeClr w14:val="tx1"/>
            </w14:solidFill>
          </w14:textFill>
        </w:rPr>
        <w:t>、水1 </w:t>
      </w:r>
      <w:r>
        <w:rPr>
          <w:rFonts w:hint="eastAsia"/>
          <w:color w:val="000000" w:themeColor="text1"/>
          <w14:textFill>
            <w14:solidFill>
              <w14:schemeClr w14:val="tx1"/>
            </w14:solidFill>
          </w14:textFill>
        </w:rPr>
        <w:t>L</w:t>
      </w:r>
      <w:r>
        <w:rPr>
          <w:color w:val="000000" w:themeColor="text1"/>
          <w14:textFill>
            <w14:solidFill>
              <w14:schemeClr w14:val="tx1"/>
            </w14:solidFill>
          </w14:textFill>
        </w:rPr>
        <w:t>，pH自然。</w:t>
      </w:r>
      <w:r>
        <w:rPr>
          <w:rFonts w:hint="eastAsia"/>
          <w:color w:val="000000" w:themeColor="text1"/>
          <w14:textFill>
            <w14:solidFill>
              <w14:schemeClr w14:val="tx1"/>
            </w14:solidFill>
          </w14:textFill>
        </w:rPr>
        <w:t>培养基分装量约为试管总容积的1/4～1/</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，121℃高压蒸汽灭菌30</w:t>
      </w:r>
      <w:r>
        <w:rPr>
          <w:color w:val="000000" w:themeColor="text1"/>
          <w14:textFill>
            <w14:solidFill>
              <w14:schemeClr w14:val="tx1"/>
            </w14:solidFill>
          </w14:textFill>
        </w:rPr>
        <w:t> </w:t>
      </w:r>
      <w:r>
        <w:rPr>
          <w:rFonts w:hint="eastAsia"/>
          <w:color w:val="000000" w:themeColor="text1"/>
          <w14:textFill>
            <w14:solidFill>
              <w14:schemeClr w14:val="tx1"/>
            </w14:solidFill>
          </w14:textFill>
        </w:rPr>
        <w:t>min，待压力自然回零后开锅取出试管，趁热摆放斜面，斜面顶端距离试管塞4</w:t>
      </w:r>
      <w:r>
        <w:rPr>
          <w:color w:val="000000" w:themeColor="text1"/>
          <w14:textFill>
            <w14:solidFill>
              <w14:schemeClr w14:val="tx1"/>
            </w14:solidFill>
          </w14:textFill>
        </w:rPr>
        <w:t>0 </w:t>
      </w:r>
      <w:r>
        <w:rPr>
          <w:rFonts w:hint="eastAsia"/>
          <w:color w:val="000000" w:themeColor="text1"/>
          <w14:textFill>
            <w14:solidFill>
              <w14:schemeClr w14:val="tx1"/>
            </w14:solidFill>
          </w14:textFill>
        </w:rPr>
        <w:t>mm～</w:t>
      </w:r>
      <w:r>
        <w:rPr>
          <w:color w:val="000000" w:themeColor="text1"/>
          <w14:textFill>
            <w14:solidFill>
              <w14:schemeClr w14:val="tx1"/>
            </w14:solidFill>
          </w14:textFill>
        </w:rPr>
        <w:t>50 </w:t>
      </w:r>
      <w:r>
        <w:rPr>
          <w:rFonts w:hint="eastAsia"/>
          <w:color w:val="000000" w:themeColor="text1"/>
          <w14:textFill>
            <w14:solidFill>
              <w14:schemeClr w14:val="tx1"/>
            </w14:solidFill>
          </w14:textFill>
        </w:rPr>
        <w:t>mm为宜。</w:t>
      </w:r>
    </w:p>
    <w:p>
      <w:pPr>
        <w:pStyle w:val="67"/>
        <w:spacing w:before="156" w:after="156"/>
      </w:pPr>
      <w:r>
        <w:rPr>
          <w:rFonts w:hint="eastAsia"/>
        </w:rPr>
        <w:t>接种及培养</w:t>
      </w:r>
    </w:p>
    <w:p>
      <w:pPr>
        <w:pStyle w:val="58"/>
        <w:ind w:firstLine="420"/>
      </w:pPr>
      <w:r>
        <w:rPr>
          <w:rFonts w:hint="eastAsia"/>
        </w:rPr>
        <w:t>待斜面培养基冷却至室温，无菌条件下挑取边长3</w:t>
      </w:r>
      <w:r>
        <w:t> </w:t>
      </w:r>
      <w:r>
        <w:rPr>
          <w:rFonts w:hint="eastAsia"/>
        </w:rPr>
        <w:t>mm～5</w:t>
      </w:r>
      <w:r>
        <w:t> </w:t>
      </w:r>
      <w:r>
        <w:rPr>
          <w:rFonts w:hint="eastAsia"/>
        </w:rPr>
        <w:t>mm的菌种块转接到斜面中部，塞上试管塞，置于25℃暗培养8</w:t>
      </w:r>
      <w:r>
        <w:t> </w:t>
      </w:r>
      <w:r>
        <w:rPr>
          <w:rFonts w:hint="eastAsia"/>
        </w:rPr>
        <w:t>d～1</w:t>
      </w:r>
      <w:r>
        <w:t>0 </w:t>
      </w:r>
      <w:r>
        <w:rPr>
          <w:rFonts w:hint="eastAsia"/>
        </w:rPr>
        <w:t>d。待菌丝长满斜面后，选取无杂菌菌落，培养基不干缩、颜色均匀、无暗斑、无色素，菌丝体洁白浓密、均匀、平整、无角变的斜面作为母种备用，母种质量应符合N</w:t>
      </w:r>
      <w:r>
        <w:t>Y/T 1742</w:t>
      </w:r>
      <w:r>
        <w:rPr>
          <w:rFonts w:hint="eastAsia"/>
        </w:rPr>
        <w:t>的要求。</w:t>
      </w:r>
    </w:p>
    <w:p>
      <w:pPr>
        <w:pStyle w:val="107"/>
        <w:spacing w:before="156" w:after="156"/>
        <w:rPr>
          <w:color w:val="000000" w:themeColor="text1"/>
          <w14:textFill>
            <w14:solidFill>
              <w14:schemeClr w14:val="tx1"/>
            </w14:solidFill>
          </w14:textFill>
        </w:rPr>
      </w:pPr>
      <w:r>
        <w:rPr>
          <w:rFonts w:hint="eastAsia"/>
        </w:rPr>
        <w:t>原种制备</w:t>
      </w:r>
    </w:p>
    <w:p>
      <w:pPr>
        <w:pStyle w:val="67"/>
        <w:spacing w:before="156" w:after="156"/>
      </w:pPr>
      <w:r>
        <w:rPr>
          <w:rFonts w:hint="eastAsia"/>
        </w:rPr>
        <w:t>固体菌种制备</w:t>
      </w:r>
    </w:p>
    <w:p>
      <w:pPr>
        <w:pStyle w:val="96"/>
        <w:numPr>
          <w:ilvl w:val="4"/>
          <w:numId w:val="0"/>
        </w:numPr>
        <w:spacing w:before="156" w:after="156"/>
        <w:jc w:val="left"/>
      </w:pPr>
      <w:r>
        <w:rPr>
          <w:rFonts w:hint="default" w:ascii="Times New Roman" w:hAnsi="Times New Roman" w:cs="Times New Roman"/>
          <w:lang w:val="en-US" w:eastAsia="zh-CN"/>
        </w:rPr>
        <w:t>5.4.1.1</w:t>
      </w:r>
      <w:r>
        <w:rPr>
          <w:rFonts w:hint="eastAsia" w:ascii="Times New Roman" w:cs="Times New Roman"/>
          <w:lang w:val="en-US" w:eastAsia="zh-CN"/>
        </w:rPr>
        <w:t xml:space="preserve">  </w:t>
      </w:r>
      <w:r>
        <w:rPr>
          <w:rFonts w:hint="eastAsia"/>
        </w:rPr>
        <w:t>培养基制备</w:t>
      </w:r>
    </w:p>
    <w:p>
      <w:pPr>
        <w:pStyle w:val="58"/>
        <w:ind w:firstLine="420"/>
      </w:pPr>
      <w:r>
        <w:rPr>
          <w:rFonts w:hint="eastAsia"/>
        </w:rPr>
        <w:t>培养基配方为棉籽壳72%，阔叶树木屑15%，麦麸10%，蔗糖1%，石灰1%，石膏1%。木屑提前2</w:t>
      </w:r>
      <w:r>
        <w:t> </w:t>
      </w:r>
      <w:r>
        <w:rPr>
          <w:rFonts w:hint="eastAsia"/>
        </w:rPr>
        <w:t>d预湿，与其他原料按比例混合拌匀，含水量控制在62%</w:t>
      </w:r>
      <w:r>
        <w:rPr>
          <w:rFonts w:ascii="Times New Roman"/>
        </w:rPr>
        <w:t>~</w:t>
      </w:r>
      <w:r>
        <w:rPr>
          <w:rFonts w:hint="eastAsia"/>
        </w:rPr>
        <w:t>65%左右，堆放2</w:t>
      </w:r>
      <w:r>
        <w:t> </w:t>
      </w:r>
      <w:r>
        <w:rPr>
          <w:rFonts w:hint="eastAsia"/>
        </w:rPr>
        <w:t>h后装入原种瓶（使用容积小于850</w:t>
      </w:r>
      <w:r>
        <w:t> </w:t>
      </w:r>
      <w:r>
        <w:rPr>
          <w:rFonts w:hint="eastAsia"/>
        </w:rPr>
        <w:t>m</w:t>
      </w:r>
      <w:r>
        <w:t>L</w:t>
      </w:r>
      <w:r>
        <w:rPr>
          <w:rFonts w:hint="eastAsia"/>
        </w:rPr>
        <w:t>的耐</w:t>
      </w:r>
      <w:r>
        <w:t> </w:t>
      </w:r>
      <w:r>
        <w:rPr>
          <w:rFonts w:hint="eastAsia"/>
        </w:rPr>
        <w:t>1</w:t>
      </w:r>
      <w:r>
        <w:t>26</w:t>
      </w:r>
      <w:r>
        <w:rPr>
          <w:rFonts w:hint="eastAsia"/>
        </w:rPr>
        <w:t>℃高温透明玻璃瓶或塑料瓶），培养基上表面距离瓶口5</w:t>
      </w:r>
      <w:r>
        <w:t>0 mm</w:t>
      </w:r>
      <w:r>
        <w:rPr>
          <w:rFonts w:hint="eastAsia" w:hAnsi="宋体"/>
        </w:rPr>
        <w:t>±</w:t>
      </w:r>
      <w:r>
        <w:t>5 mm</w:t>
      </w:r>
      <w:r>
        <w:rPr>
          <w:rFonts w:hint="eastAsia"/>
        </w:rPr>
        <w:t>，用封口膜或无棉盖体封住瓶口，121℃高压蒸汽灭菌3</w:t>
      </w:r>
      <w:r>
        <w:t> </w:t>
      </w:r>
      <w:r>
        <w:rPr>
          <w:rFonts w:hint="eastAsia"/>
        </w:rPr>
        <w:t>h。</w:t>
      </w:r>
    </w:p>
    <w:p>
      <w:pPr>
        <w:pStyle w:val="96"/>
        <w:numPr>
          <w:ilvl w:val="4"/>
          <w:numId w:val="0"/>
        </w:numPr>
        <w:spacing w:before="156" w:after="156"/>
        <w:rPr>
          <w:color w:val="000000" w:themeColor="text1"/>
          <w:szCs w:val="21"/>
          <w14:textFill>
            <w14:solidFill>
              <w14:schemeClr w14:val="tx1"/>
            </w14:solidFill>
          </w14:textFill>
        </w:rPr>
      </w:pPr>
      <w:r>
        <w:rPr>
          <w:rFonts w:hint="eastAsia" w:ascii="Times New Roman" w:hAnsi="Times New Roman" w:cs="Times New Roman"/>
          <w:lang w:val="en-US" w:eastAsia="zh-CN"/>
        </w:rPr>
        <w:t>5.4.1.2</w:t>
      </w:r>
      <w:r>
        <w:rPr>
          <w:rFonts w:hint="eastAsia" w:ascii="Times New Roman" w:cs="Times New Roman"/>
          <w:lang w:val="en-US" w:eastAsia="zh-CN"/>
        </w:rPr>
        <w:t xml:space="preserve">  </w:t>
      </w:r>
      <w:r>
        <w:rPr>
          <w:rFonts w:hint="eastAsia"/>
        </w:rPr>
        <w:t>接种及培养</w:t>
      </w:r>
    </w:p>
    <w:p>
      <w:pPr>
        <w:pStyle w:val="58"/>
        <w:ind w:firstLine="420"/>
      </w:pPr>
      <w:r>
        <w:rPr>
          <w:rFonts w:hint="eastAsia"/>
          <w:color w:val="000000" w:themeColor="text1"/>
          <w14:textFill>
            <w14:solidFill>
              <w14:schemeClr w14:val="tx1"/>
            </w14:solidFill>
          </w14:textFill>
        </w:rPr>
        <w:t>原种瓶冷却至室温，无菌条件下，接入边长1.</w:t>
      </w:r>
      <w:r>
        <w:rPr>
          <w:color w:val="000000" w:themeColor="text1"/>
          <w14:textFill>
            <w14:solidFill>
              <w14:schemeClr w14:val="tx1"/>
            </w14:solidFill>
          </w14:textFill>
        </w:rPr>
        <w:t>5 </w:t>
      </w:r>
      <w:r>
        <w:rPr>
          <w:rFonts w:hint="eastAsia"/>
          <w:color w:val="000000" w:themeColor="text1"/>
          <w14:textFill>
            <w14:solidFill>
              <w14:schemeClr w14:val="tx1"/>
            </w14:solidFill>
          </w14:textFill>
        </w:rPr>
        <w:t>cm～</w:t>
      </w:r>
      <w:r>
        <w:rPr>
          <w:color w:val="000000" w:themeColor="text1"/>
          <w14:textFill>
            <w14:solidFill>
              <w14:schemeClr w14:val="tx1"/>
            </w14:solidFill>
          </w14:textFill>
        </w:rPr>
        <w:t>2 </w:t>
      </w:r>
      <w:r>
        <w:rPr>
          <w:rFonts w:hint="eastAsia"/>
          <w:color w:val="000000" w:themeColor="text1"/>
          <w14:textFill>
            <w14:solidFill>
              <w14:schemeClr w14:val="tx1"/>
            </w14:solidFill>
          </w14:textFill>
        </w:rPr>
        <w:t>cm的母种菌块，置于室温24℃～26℃，空气相对湿度5</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的培养室中暗培养30</w:t>
      </w:r>
      <w:r>
        <w:rPr>
          <w:color w:val="000000" w:themeColor="text1"/>
          <w14:textFill>
            <w14:solidFill>
              <w14:schemeClr w14:val="tx1"/>
            </w14:solidFill>
          </w14:textFill>
        </w:rPr>
        <w:t> </w:t>
      </w:r>
      <w:r>
        <w:rPr>
          <w:rFonts w:hint="eastAsia"/>
          <w:color w:val="000000" w:themeColor="text1"/>
          <w14:textFill>
            <w14:solidFill>
              <w14:schemeClr w14:val="tx1"/>
            </w14:solidFill>
          </w14:textFill>
        </w:rPr>
        <w:t>d～35</w:t>
      </w:r>
      <w:r>
        <w:rPr>
          <w:color w:val="000000" w:themeColor="text1"/>
          <w14:textFill>
            <w14:solidFill>
              <w14:schemeClr w14:val="tx1"/>
            </w14:solidFill>
          </w14:textFill>
        </w:rPr>
        <w:t> </w:t>
      </w:r>
      <w:r>
        <w:rPr>
          <w:rFonts w:hint="eastAsia"/>
          <w:color w:val="000000" w:themeColor="text1"/>
          <w14:textFill>
            <w14:solidFill>
              <w14:schemeClr w14:val="tx1"/>
            </w14:solidFill>
          </w14:textFill>
        </w:rPr>
        <w:t>d，使菌丝长满原种瓶。原种制备好以后，要求菌丝体洁白浓密，生长健旺，无杂菌菌落、无拮抗现象和子实体原基；培养基应紧贴瓶壁，无干缩，无菌皮；闻气味应有灵芝菌种特有的清香味，无酸、臭、霉等异味</w:t>
      </w:r>
      <w:r>
        <w:rPr>
          <w:rFonts w:hint="eastAsia"/>
        </w:rPr>
        <w:t>。</w:t>
      </w:r>
    </w:p>
    <w:p>
      <w:pPr>
        <w:pStyle w:val="67"/>
        <w:spacing w:before="156" w:after="156"/>
      </w:pPr>
      <w:r>
        <w:rPr>
          <w:rFonts w:hint="eastAsia"/>
        </w:rPr>
        <w:t>液体菌种制备</w:t>
      </w:r>
    </w:p>
    <w:p>
      <w:pPr>
        <w:pStyle w:val="96"/>
        <w:numPr>
          <w:ilvl w:val="4"/>
          <w:numId w:val="0"/>
        </w:numPr>
        <w:spacing w:before="156" w:after="156"/>
      </w:pPr>
      <w:r>
        <w:rPr>
          <w:rFonts w:hint="default" w:ascii="Times New Roman" w:hAnsi="Times New Roman" w:cs="Times New Roman"/>
          <w:lang w:val="en-US" w:eastAsia="zh-CN"/>
        </w:rPr>
        <w:t>5.4.</w:t>
      </w:r>
      <w:r>
        <w:rPr>
          <w:rFonts w:hint="eastAsia" w:ascii="Times New Roman" w:cs="Times New Roman"/>
          <w:lang w:val="en-US" w:eastAsia="zh-CN"/>
        </w:rPr>
        <w:t>2</w:t>
      </w:r>
      <w:r>
        <w:rPr>
          <w:rFonts w:hint="default" w:ascii="Times New Roman" w:hAnsi="Times New Roman" w:cs="Times New Roman"/>
          <w:lang w:val="en-US" w:eastAsia="zh-CN"/>
        </w:rPr>
        <w:t>.1</w:t>
      </w:r>
      <w:r>
        <w:rPr>
          <w:rFonts w:hint="eastAsia" w:ascii="Times New Roman" w:cs="Times New Roman"/>
          <w:lang w:val="en-US" w:eastAsia="zh-CN"/>
        </w:rPr>
        <w:t xml:space="preserve">  </w:t>
      </w:r>
      <w:r>
        <w:t>培养基</w:t>
      </w:r>
      <w:r>
        <w:rPr>
          <w:rFonts w:hint="eastAsia"/>
        </w:rPr>
        <w:t>配方</w:t>
      </w:r>
    </w:p>
    <w:p>
      <w:pPr>
        <w:pStyle w:val="58"/>
        <w:ind w:firstLine="420"/>
      </w:pPr>
      <w:r>
        <w:rPr>
          <w:rFonts w:hint="eastAsia"/>
        </w:rPr>
        <w:t>培养基</w:t>
      </w:r>
      <w:r>
        <w:t>配方</w:t>
      </w:r>
      <w:r>
        <w:rPr>
          <w:rFonts w:hint="eastAsia"/>
        </w:rPr>
        <w:t>为葡萄糖</w:t>
      </w:r>
      <w:r>
        <w:t>20 </w:t>
      </w:r>
      <w:r>
        <w:rPr>
          <w:rFonts w:hint="eastAsia"/>
        </w:rPr>
        <w:t>g、蛋白胨3</w:t>
      </w:r>
      <w:r>
        <w:t> </w:t>
      </w:r>
      <w:r>
        <w:rPr>
          <w:rFonts w:hint="eastAsia"/>
        </w:rPr>
        <w:t>g、</w:t>
      </w:r>
      <w:r>
        <w:t>牛肉膏3 </w:t>
      </w:r>
      <w:r>
        <w:rPr>
          <w:rFonts w:hint="eastAsia"/>
        </w:rPr>
        <w:t>g、玉米粉10</w:t>
      </w:r>
      <w:r>
        <w:t> </w:t>
      </w:r>
      <w:r>
        <w:rPr>
          <w:rFonts w:hint="eastAsia"/>
        </w:rPr>
        <w:t>g、</w:t>
      </w:r>
      <w:r>
        <w:t>酵母膏3 </w:t>
      </w:r>
      <w:r>
        <w:rPr>
          <w:rFonts w:hint="eastAsia"/>
        </w:rPr>
        <w:t>g、</w:t>
      </w:r>
      <w:r>
        <w:t>磷酸二氢钾1</w:t>
      </w:r>
      <w:r>
        <w:rPr>
          <w:color w:val="000000" w:themeColor="text1"/>
          <w14:textFill>
            <w14:solidFill>
              <w14:schemeClr w14:val="tx1"/>
            </w14:solidFill>
          </w14:textFill>
        </w:rPr>
        <w:t> </w:t>
      </w:r>
      <w:r>
        <w:rPr>
          <w:rFonts w:hint="eastAsia"/>
        </w:rPr>
        <w:t>g、</w:t>
      </w:r>
      <w:r>
        <w:t>硫酸镁0.5 </w:t>
      </w:r>
      <w:r>
        <w:rPr>
          <w:rFonts w:hint="eastAsia"/>
        </w:rPr>
        <w:t>g、消泡剂0</w:t>
      </w:r>
      <w:r>
        <w:t>.3 </w:t>
      </w:r>
      <w:r>
        <w:rPr>
          <w:rFonts w:hint="eastAsia"/>
        </w:rPr>
        <w:t>g、</w:t>
      </w:r>
      <w:r>
        <w:t>水1 L</w:t>
      </w:r>
      <w:r>
        <w:rPr>
          <w:rFonts w:hint="eastAsia"/>
        </w:rPr>
        <w:t>、</w:t>
      </w:r>
      <w:r>
        <w:t>pH</w:t>
      </w:r>
      <w:r>
        <w:rPr>
          <w:rFonts w:hint="eastAsia"/>
        </w:rPr>
        <w:t>自然。</w:t>
      </w:r>
    </w:p>
    <w:p>
      <w:pPr>
        <w:pStyle w:val="96"/>
        <w:numPr>
          <w:ilvl w:val="4"/>
          <w:numId w:val="0"/>
        </w:numPr>
        <w:spacing w:before="156" w:after="156"/>
      </w:pPr>
      <w:r>
        <w:rPr>
          <w:rFonts w:hint="default" w:ascii="Times New Roman" w:hAnsi="Times New Roman" w:cs="Times New Roman"/>
          <w:lang w:val="en-US" w:eastAsia="zh-CN"/>
        </w:rPr>
        <w:t>5.4.</w:t>
      </w:r>
      <w:r>
        <w:rPr>
          <w:rFonts w:hint="eastAsia" w:ascii="Times New Roman" w:cs="Times New Roman"/>
          <w:lang w:val="en-US" w:eastAsia="zh-CN"/>
        </w:rPr>
        <w:t>2</w:t>
      </w:r>
      <w:r>
        <w:rPr>
          <w:rFonts w:hint="default" w:ascii="Times New Roman" w:hAnsi="Times New Roman" w:cs="Times New Roman"/>
          <w:lang w:val="en-US" w:eastAsia="zh-CN"/>
        </w:rPr>
        <w:t>.</w:t>
      </w:r>
      <w:r>
        <w:rPr>
          <w:rFonts w:hint="eastAsia" w:ascii="Times New Roman" w:cs="Times New Roman"/>
          <w:lang w:val="en-US" w:eastAsia="zh-CN"/>
        </w:rPr>
        <w:t xml:space="preserve">2  </w:t>
      </w:r>
      <w:r>
        <w:rPr>
          <w:rFonts w:hint="eastAsia"/>
        </w:rPr>
        <w:t>摇瓶液体菌种制备</w:t>
      </w:r>
    </w:p>
    <w:p>
      <w:pPr>
        <w:pStyle w:val="58"/>
        <w:ind w:firstLine="420"/>
      </w:pPr>
      <w:r>
        <w:t>按</w:t>
      </w:r>
      <w:r>
        <w:rPr>
          <w:rFonts w:hint="eastAsia"/>
        </w:rPr>
        <w:t>上述</w:t>
      </w:r>
      <w:r>
        <w:t>配方配制培养</w:t>
      </w:r>
      <w:r>
        <w:rPr>
          <w:rFonts w:hint="eastAsia"/>
        </w:rPr>
        <w:t>基</w:t>
      </w:r>
      <w:r>
        <w:t>，装入摇瓶中，混合均匀，装液量为摇瓶容量的60%，聚丙烯薄膜封口。121℃高压蒸汽灭菌40 </w:t>
      </w:r>
      <w:r>
        <w:rPr>
          <w:rFonts w:hint="eastAsia"/>
        </w:rPr>
        <w:t>min</w:t>
      </w:r>
      <w:r>
        <w:t>。</w:t>
      </w:r>
      <w:r>
        <w:rPr>
          <w:rFonts w:hint="eastAsia"/>
        </w:rPr>
        <w:t>培养基</w:t>
      </w:r>
      <w:r>
        <w:t>冷却至室温，无菌条件下，挑取5</w:t>
      </w:r>
      <w:r>
        <w:rPr>
          <w:rFonts w:hint="eastAsia"/>
          <w:lang w:eastAsia="zh-CN"/>
        </w:rPr>
        <w:t>块</w:t>
      </w:r>
      <w:r>
        <w:t>～6块</w:t>
      </w:r>
      <w:r>
        <w:rPr>
          <w:rFonts w:hint="eastAsia"/>
        </w:rPr>
        <w:t>1</w:t>
      </w:r>
      <w:r>
        <w:t> </w:t>
      </w:r>
      <w:r>
        <w:rPr>
          <w:rFonts w:hint="eastAsia"/>
        </w:rPr>
        <w:t>mm</w:t>
      </w:r>
      <w:r>
        <w:rPr>
          <w:vertAlign w:val="superscript"/>
        </w:rPr>
        <w:t>2</w:t>
      </w:r>
      <w:r>
        <w:t>～4 </w:t>
      </w:r>
      <w:r>
        <w:rPr>
          <w:rFonts w:hint="eastAsia"/>
        </w:rPr>
        <w:t>mm</w:t>
      </w:r>
      <w:r>
        <w:rPr>
          <w:vertAlign w:val="superscript"/>
        </w:rPr>
        <w:t>2</w:t>
      </w:r>
      <w:r>
        <w:t>母种块放入摇瓶内，避光静置24</w:t>
      </w:r>
      <w:r>
        <w:rPr>
          <w:rFonts w:hint="eastAsia"/>
        </w:rPr>
        <w:t xml:space="preserve"> h</w:t>
      </w:r>
      <w:r>
        <w:t>后置于旋转式恒温摇床上，温度25℃～28℃、140 </w:t>
      </w:r>
      <w:r>
        <w:rPr>
          <w:rFonts w:hint="eastAsia"/>
        </w:rPr>
        <w:t>r</w:t>
      </w:r>
      <w:r>
        <w:t>/</w:t>
      </w:r>
      <w:r>
        <w:rPr>
          <w:rFonts w:hint="eastAsia"/>
        </w:rPr>
        <w:t>min</w:t>
      </w:r>
      <w:r>
        <w:t>～160 </w:t>
      </w:r>
      <w:r>
        <w:rPr>
          <w:rFonts w:hint="eastAsia"/>
        </w:rPr>
        <w:t>r</w:t>
      </w:r>
      <w:r>
        <w:t>/</w:t>
      </w:r>
      <w:r>
        <w:rPr>
          <w:rFonts w:hint="eastAsia"/>
        </w:rPr>
        <w:t>min</w:t>
      </w:r>
      <w:r>
        <w:t>培养4 </w:t>
      </w:r>
      <w:r>
        <w:rPr>
          <w:rFonts w:hint="eastAsia"/>
        </w:rPr>
        <w:t>d</w:t>
      </w:r>
      <w:r>
        <w:t>～6 </w:t>
      </w:r>
      <w:r>
        <w:rPr>
          <w:rFonts w:hint="eastAsia"/>
        </w:rPr>
        <w:t>d。摇瓶液体菌种理化指标应符合</w:t>
      </w:r>
      <w:r>
        <w:rPr>
          <w:rFonts w:hint="eastAsia" w:hAnsi="宋体" w:cs="宋体"/>
        </w:rPr>
        <w:t>DB37/T</w:t>
      </w:r>
      <w:r>
        <w:t> </w:t>
      </w:r>
      <w:r>
        <w:rPr>
          <w:rFonts w:hint="eastAsia" w:hAnsi="宋体" w:cs="宋体"/>
        </w:rPr>
        <w:t>4252的规定</w:t>
      </w:r>
      <w:r>
        <w:rPr>
          <w:rFonts w:hint="eastAsia"/>
        </w:rPr>
        <w:t>。</w:t>
      </w:r>
    </w:p>
    <w:p>
      <w:pPr>
        <w:pStyle w:val="96"/>
        <w:numPr>
          <w:ilvl w:val="4"/>
          <w:numId w:val="0"/>
        </w:numPr>
        <w:spacing w:before="156" w:after="156"/>
      </w:pPr>
      <w:r>
        <w:rPr>
          <w:rFonts w:hint="default" w:ascii="Times New Roman" w:hAnsi="Times New Roman" w:cs="Times New Roman"/>
          <w:lang w:val="en-US" w:eastAsia="zh-CN"/>
        </w:rPr>
        <w:t>5.4.</w:t>
      </w:r>
      <w:r>
        <w:rPr>
          <w:rFonts w:hint="eastAsia" w:ascii="Times New Roman" w:cs="Times New Roman"/>
          <w:lang w:val="en-US" w:eastAsia="zh-CN"/>
        </w:rPr>
        <w:t>2</w:t>
      </w:r>
      <w:r>
        <w:rPr>
          <w:rFonts w:hint="default" w:ascii="Times New Roman" w:hAnsi="Times New Roman" w:cs="Times New Roman"/>
          <w:lang w:val="en-US" w:eastAsia="zh-CN"/>
        </w:rPr>
        <w:t>.</w:t>
      </w:r>
      <w:r>
        <w:rPr>
          <w:rFonts w:hint="eastAsia" w:ascii="Times New Roman" w:cs="Times New Roman"/>
          <w:lang w:val="en-US" w:eastAsia="zh-CN"/>
        </w:rPr>
        <w:t xml:space="preserve">3  </w:t>
      </w:r>
      <w:r>
        <w:rPr>
          <w:rFonts w:hint="eastAsia"/>
        </w:rPr>
        <w:t>发酵罐</w:t>
      </w:r>
      <w:r>
        <w:t>液体菌种</w:t>
      </w:r>
      <w:r>
        <w:rPr>
          <w:rFonts w:hint="eastAsia"/>
        </w:rPr>
        <w:t>制备</w:t>
      </w:r>
    </w:p>
    <w:p>
      <w:pPr>
        <w:pStyle w:val="58"/>
        <w:ind w:firstLine="420"/>
      </w:pPr>
      <w:r>
        <w:rPr>
          <w:rFonts w:hint="eastAsia"/>
        </w:rPr>
        <w:t>无菌环境下，培养液</w:t>
      </w:r>
      <w:r>
        <w:t>装液量为发酵罐容量的70%～80%</w:t>
      </w:r>
      <w:r>
        <w:rPr>
          <w:rFonts w:hint="eastAsia"/>
        </w:rPr>
        <w:t>，接种量为装液量的0</w:t>
      </w:r>
      <w:r>
        <w:t>.5%～1%</w:t>
      </w:r>
      <w:r>
        <w:rPr>
          <w:rFonts w:hint="eastAsia"/>
        </w:rPr>
        <w:t>，发酵罐持续通入无菌空气，维持罐压0</w:t>
      </w:r>
      <w:r>
        <w:t>.02 MP</w:t>
      </w:r>
      <w:r>
        <w:rPr>
          <w:rFonts w:hint="eastAsia"/>
        </w:rPr>
        <w:t>a</w:t>
      </w:r>
      <w:r>
        <w:t>～</w:t>
      </w:r>
      <w:r>
        <w:rPr>
          <w:rFonts w:hint="eastAsia"/>
        </w:rPr>
        <w:t>0</w:t>
      </w:r>
      <w:r>
        <w:t>.03 MP</w:t>
      </w:r>
      <w:r>
        <w:rPr>
          <w:rFonts w:hint="eastAsia"/>
        </w:rPr>
        <w:t>a，在</w:t>
      </w:r>
      <w:r>
        <w:t>25</w:t>
      </w:r>
      <w:r>
        <w:rPr>
          <w:rFonts w:hint="eastAsia"/>
        </w:rPr>
        <w:t>℃</w:t>
      </w:r>
      <w:r>
        <w:t>～28</w:t>
      </w:r>
      <w:r>
        <w:rPr>
          <w:rFonts w:hint="eastAsia"/>
        </w:rPr>
        <w:t>℃条件下培养6</w:t>
      </w:r>
      <w:r>
        <w:t> </w:t>
      </w:r>
      <w:r>
        <w:rPr>
          <w:rFonts w:hint="eastAsia"/>
        </w:rPr>
        <w:t>d</w:t>
      </w:r>
      <w:r>
        <w:t>～</w:t>
      </w:r>
      <w:r>
        <w:rPr>
          <w:rFonts w:hint="eastAsia"/>
        </w:rPr>
        <w:t>7</w:t>
      </w:r>
      <w:r>
        <w:t> </w:t>
      </w:r>
      <w:r>
        <w:rPr>
          <w:rFonts w:hint="eastAsia"/>
        </w:rPr>
        <w:t>d，发酵罐液体菌种质量应符合</w:t>
      </w:r>
      <w:r>
        <w:t>DB37/T 4252</w:t>
      </w:r>
      <w:r>
        <w:rPr>
          <w:rFonts w:hint="eastAsia"/>
        </w:rPr>
        <w:t>的要求。</w:t>
      </w:r>
    </w:p>
    <w:p>
      <w:pPr>
        <w:pStyle w:val="107"/>
        <w:spacing w:before="156" w:after="156"/>
      </w:pPr>
      <w:r>
        <w:rPr>
          <w:rFonts w:hint="eastAsia"/>
        </w:rPr>
        <w:t>栽培种（袋）制备</w:t>
      </w:r>
    </w:p>
    <w:p>
      <w:pPr>
        <w:pStyle w:val="67"/>
        <w:spacing w:before="156" w:after="156"/>
      </w:pPr>
      <w:r>
        <w:rPr>
          <w:rFonts w:hint="eastAsia"/>
        </w:rPr>
        <w:t>栽培种培养袋制备</w:t>
      </w:r>
    </w:p>
    <w:p>
      <w:pPr>
        <w:pStyle w:val="58"/>
        <w:ind w:firstLine="420"/>
      </w:pPr>
      <w:r>
        <w:rPr>
          <w:rFonts w:hint="eastAsia"/>
        </w:rPr>
        <w:t>使用耐高温的聚丙烯塑料袋，规格为17</w:t>
      </w:r>
      <w:r>
        <w:t> </w:t>
      </w:r>
      <w:r>
        <w:rPr>
          <w:rFonts w:hint="eastAsia"/>
        </w:rPr>
        <w:t>cm×35</w:t>
      </w:r>
      <w:r>
        <w:t> </w:t>
      </w:r>
      <w:r>
        <w:rPr>
          <w:rFonts w:hint="eastAsia"/>
        </w:rPr>
        <w:t>cm作为栽培种料袋。栽培种培养料配方为棉籽壳58%，阔叶树木屑15%，玉米芯15%，麦麸10%，石灰1%，石膏1%，含水量控制在65%左右，制备工艺流程与原种相同，木屑、玉米芯应提前2</w:t>
      </w:r>
      <w:r>
        <w:t> </w:t>
      </w:r>
      <w:r>
        <w:rPr>
          <w:rFonts w:hint="eastAsia"/>
        </w:rPr>
        <w:t>d预湿。无菌条件下，固体菌种接种量为每袋12</w:t>
      </w:r>
      <w:r>
        <w:t> </w:t>
      </w:r>
      <w:r>
        <w:rPr>
          <w:rFonts w:hint="eastAsia"/>
        </w:rPr>
        <w:t>g～15</w:t>
      </w:r>
      <w:r>
        <w:t> </w:t>
      </w:r>
      <w:r>
        <w:rPr>
          <w:rFonts w:hint="eastAsia"/>
        </w:rPr>
        <w:t>g，液体菌种接种量为每袋15</w:t>
      </w:r>
      <w:r>
        <w:t> </w:t>
      </w:r>
      <w:r>
        <w:rPr>
          <w:rFonts w:hint="eastAsia"/>
        </w:rPr>
        <w:t>mL～20</w:t>
      </w:r>
      <w:r>
        <w:t> </w:t>
      </w:r>
      <w:r>
        <w:rPr>
          <w:rFonts w:hint="eastAsia"/>
        </w:rPr>
        <w:t>mL。</w:t>
      </w:r>
    </w:p>
    <w:p>
      <w:pPr>
        <w:pStyle w:val="67"/>
        <w:spacing w:before="156" w:after="156"/>
      </w:pPr>
      <w:r>
        <w:rPr>
          <w:rFonts w:hint="eastAsia"/>
        </w:rPr>
        <w:t>栽培种（袋）发菌</w:t>
      </w:r>
    </w:p>
    <w:p>
      <w:pPr>
        <w:pStyle w:val="58"/>
        <w:ind w:firstLine="420"/>
      </w:pPr>
      <w:r>
        <w:rPr>
          <w:rFonts w:hint="eastAsia"/>
        </w:rPr>
        <w:t>接种后将栽培种（袋）放在避光、洁净的培养室或大棚内发菌培养，培养温度24℃～26℃、空气相对湿度50%～70%，每天通风2</w:t>
      </w:r>
      <w:r>
        <w:t> </w:t>
      </w:r>
      <w:r>
        <w:rPr>
          <w:rFonts w:hint="eastAsia"/>
        </w:rPr>
        <w:t>h，发菌期间翻袋2</w:t>
      </w:r>
      <w:r>
        <w:rPr>
          <w:rFonts w:hint="eastAsia"/>
          <w:lang w:eastAsia="zh-CN"/>
        </w:rPr>
        <w:t>次</w:t>
      </w:r>
      <w:r>
        <w:rPr>
          <w:rFonts w:hint="eastAsia"/>
        </w:rPr>
        <w:t>～3次，检查菌丝生长情况，及时处理污染菌袋。</w:t>
      </w:r>
    </w:p>
    <w:p>
      <w:pPr>
        <w:pStyle w:val="106"/>
        <w:spacing w:before="312" w:after="312"/>
      </w:pPr>
      <w:r>
        <w:t>栽培季节</w:t>
      </w:r>
    </w:p>
    <w:p>
      <w:pPr>
        <w:pStyle w:val="58"/>
        <w:ind w:firstLine="420"/>
      </w:pPr>
      <w:r>
        <w:rPr>
          <w:rFonts w:hint="eastAsia"/>
        </w:rPr>
        <w:t>根据泰山灵芝生物学特性，大棚栽培</w:t>
      </w:r>
      <w:r>
        <w:t>6月</w:t>
      </w:r>
      <w:r>
        <w:rPr>
          <w:rFonts w:hint="eastAsia"/>
        </w:rPr>
        <w:t>上</w:t>
      </w:r>
      <w:r>
        <w:t>旬即可安排出芝，一般栽培一</w:t>
      </w:r>
      <w:r>
        <w:rPr>
          <w:rFonts w:hint="eastAsia"/>
        </w:rPr>
        <w:t>批，</w:t>
      </w:r>
      <w:r>
        <w:t>在控温设施下</w:t>
      </w:r>
      <w:r>
        <w:rPr>
          <w:rFonts w:hint="eastAsia"/>
        </w:rPr>
        <w:t>，可栽培2</w:t>
      </w:r>
      <w:r>
        <w:rPr>
          <w:rFonts w:hint="eastAsia"/>
          <w:lang w:eastAsia="zh-CN"/>
        </w:rPr>
        <w:t>批</w:t>
      </w:r>
      <w:r>
        <w:rPr>
          <w:rFonts w:hint="eastAsia"/>
        </w:rPr>
        <w:t>～3批</w:t>
      </w:r>
      <w:r>
        <w:t>。</w:t>
      </w:r>
    </w:p>
    <w:p>
      <w:pPr>
        <w:pStyle w:val="106"/>
        <w:spacing w:before="312" w:after="312"/>
      </w:pPr>
      <w:r>
        <w:t>定</w:t>
      </w:r>
      <w:r>
        <w:rPr>
          <w:rFonts w:hint="eastAsia"/>
        </w:rPr>
        <w:t>位</w:t>
      </w:r>
      <w:r>
        <w:t>出芝管理</w:t>
      </w:r>
    </w:p>
    <w:p>
      <w:pPr>
        <w:pStyle w:val="107"/>
        <w:spacing w:before="156" w:after="156"/>
      </w:pPr>
      <w:r>
        <w:t>栽培袋摆放</w:t>
      </w:r>
    </w:p>
    <w:p>
      <w:pPr>
        <w:pStyle w:val="58"/>
        <w:ind w:firstLine="420"/>
      </w:pPr>
      <w:r>
        <w:t>将发满菌的栽培袋</w:t>
      </w:r>
      <w:r>
        <w:rPr>
          <w:rFonts w:hint="eastAsia"/>
          <w:color w:val="000000" w:themeColor="text1"/>
          <w14:textFill>
            <w14:solidFill>
              <w14:schemeClr w14:val="tx1"/>
            </w14:solidFill>
          </w14:textFill>
        </w:rPr>
        <w:t>整齐</w:t>
      </w:r>
      <w:r>
        <w:rPr>
          <w:rFonts w:hint="eastAsia"/>
        </w:rPr>
        <w:t>横摆在</w:t>
      </w:r>
      <w:r>
        <w:t>畦埂上，垛间距70 </w:t>
      </w:r>
      <w:r>
        <w:rPr>
          <w:rFonts w:hint="eastAsia"/>
        </w:rPr>
        <w:t>cm</w:t>
      </w:r>
      <w:r>
        <w:t>～80 </w:t>
      </w:r>
      <w:r>
        <w:rPr>
          <w:rFonts w:hint="eastAsia"/>
        </w:rPr>
        <w:t>cm</w:t>
      </w:r>
      <w:r>
        <w:t>，码垛高6</w:t>
      </w:r>
      <w:r>
        <w:rPr>
          <w:rFonts w:hint="eastAsia"/>
        </w:rPr>
        <w:t>层</w:t>
      </w:r>
      <w:r>
        <w:t>～8层。</w:t>
      </w:r>
    </w:p>
    <w:p>
      <w:pPr>
        <w:pStyle w:val="107"/>
        <w:spacing w:before="156" w:after="156"/>
        <w:rPr>
          <w:b/>
          <w:bCs/>
        </w:rPr>
      </w:pPr>
      <w:r>
        <w:t>开口</w:t>
      </w:r>
    </w:p>
    <w:p>
      <w:pPr>
        <w:pStyle w:val="58"/>
        <w:ind w:firstLine="420"/>
        <w:rPr>
          <w:color w:val="FF0000"/>
        </w:rPr>
      </w:pPr>
      <w:r>
        <w:rPr>
          <w:rFonts w:hint="eastAsia"/>
        </w:rPr>
        <w:t>扎口菌袋，</w:t>
      </w:r>
      <w:r>
        <w:t>采用两端开口法，用消毒刀片沿袋口扎绳内侧垂直割下，形成一个直径2 </w:t>
      </w:r>
      <w:r>
        <w:rPr>
          <w:rFonts w:hint="eastAsia"/>
        </w:rPr>
        <w:t>cm</w:t>
      </w:r>
      <w:r>
        <w:t>的圆孔，切口平整</w:t>
      </w:r>
      <w:r>
        <w:rPr>
          <w:rFonts w:hint="eastAsia"/>
        </w:rPr>
        <w:t>；封口菌袋，直接去掉封口物即可。</w:t>
      </w:r>
    </w:p>
    <w:p>
      <w:pPr>
        <w:pStyle w:val="107"/>
        <w:spacing w:before="156" w:after="156"/>
      </w:pPr>
      <w:r>
        <w:t>原基期</w:t>
      </w:r>
    </w:p>
    <w:p>
      <w:pPr>
        <w:pStyle w:val="58"/>
        <w:ind w:firstLine="420"/>
      </w:pPr>
      <w:r>
        <w:t>环境温度控制在23℃～28℃，空气相对湿度85</w:t>
      </w:r>
      <w:r>
        <w:rPr>
          <w:rFonts w:hint="eastAsia"/>
        </w:rPr>
        <w:t>%</w:t>
      </w:r>
      <w:r>
        <w:t>～90%，每天通风换气</w:t>
      </w:r>
      <w:r>
        <w:rPr>
          <w:rFonts w:hint="eastAsia"/>
        </w:rPr>
        <w:t>，</w:t>
      </w:r>
      <w:r>
        <w:t>芝棚内散射光照强度500 </w:t>
      </w:r>
      <w:r>
        <w:rPr>
          <w:rFonts w:hint="eastAsia"/>
        </w:rPr>
        <w:t>Lux</w:t>
      </w:r>
      <w:r>
        <w:t>～2000 </w:t>
      </w:r>
      <w:r>
        <w:rPr>
          <w:rFonts w:hint="eastAsia"/>
        </w:rPr>
        <w:t>Lux</w:t>
      </w:r>
      <w:r>
        <w:t>。</w:t>
      </w:r>
    </w:p>
    <w:p>
      <w:pPr>
        <w:pStyle w:val="107"/>
        <w:spacing w:before="156" w:after="156"/>
      </w:pPr>
      <w:r>
        <w:t>人工修整</w:t>
      </w:r>
    </w:p>
    <w:p>
      <w:pPr>
        <w:pStyle w:val="58"/>
        <w:ind w:firstLine="420"/>
      </w:pPr>
      <w:r>
        <w:t>栽培袋开口7 </w:t>
      </w:r>
      <w:r>
        <w:rPr>
          <w:rFonts w:hint="eastAsia"/>
        </w:rPr>
        <w:t>d</w:t>
      </w:r>
      <w:r>
        <w:t>左右长出原基，用消毒刀片</w:t>
      </w:r>
      <w:r>
        <w:rPr>
          <w:rFonts w:hint="eastAsia"/>
        </w:rPr>
        <w:t>削掉生长</w:t>
      </w:r>
      <w:r>
        <w:t>较弱、着生位置较差的多余原基，每个袋口只留一个健壮原基，</w:t>
      </w:r>
      <w:r>
        <w:rPr>
          <w:rFonts w:hint="eastAsia"/>
        </w:rPr>
        <w:t>操作时</w:t>
      </w:r>
      <w:r>
        <w:t>不要</w:t>
      </w:r>
      <w:r>
        <w:rPr>
          <w:rFonts w:hint="eastAsia"/>
        </w:rPr>
        <w:t>伤到</w:t>
      </w:r>
      <w:r>
        <w:t>原基生长点。</w:t>
      </w:r>
    </w:p>
    <w:p>
      <w:pPr>
        <w:pStyle w:val="107"/>
        <w:spacing w:before="156" w:after="156"/>
      </w:pPr>
      <w:r>
        <w:t>生长期</w:t>
      </w:r>
    </w:p>
    <w:p>
      <w:pPr>
        <w:pStyle w:val="58"/>
        <w:ind w:firstLine="420"/>
      </w:pPr>
      <w:r>
        <w:t>空气相对湿度控制在85</w:t>
      </w:r>
      <w:r>
        <w:rPr>
          <w:rFonts w:hint="eastAsia"/>
        </w:rPr>
        <w:t>%</w:t>
      </w:r>
      <w:r>
        <w:t>～90%，光照强度2000 </w:t>
      </w:r>
      <w:r>
        <w:rPr>
          <w:rFonts w:hint="eastAsia"/>
        </w:rPr>
        <w:t>Lux</w:t>
      </w:r>
      <w:r>
        <w:t>左右，</w:t>
      </w:r>
      <w:r>
        <w:rPr>
          <w:rFonts w:hint="eastAsia"/>
        </w:rPr>
        <w:t>CO</w:t>
      </w:r>
      <w:r>
        <w:rPr>
          <w:rFonts w:hint="eastAsia"/>
          <w:vertAlign w:val="subscript"/>
        </w:rPr>
        <w:t>2</w:t>
      </w:r>
      <w:r>
        <w:t>浓度不超过0.1%，环境温度控制在22℃～30℃。</w:t>
      </w:r>
    </w:p>
    <w:p>
      <w:pPr>
        <w:pStyle w:val="107"/>
        <w:spacing w:before="156" w:after="156"/>
        <w:rPr>
          <w:color w:val="FF0000"/>
        </w:rPr>
      </w:pPr>
      <w:r>
        <w:t>成熟期</w:t>
      </w:r>
    </w:p>
    <w:p>
      <w:pPr>
        <w:pStyle w:val="58"/>
        <w:ind w:firstLine="420"/>
      </w:pPr>
      <w:r>
        <w:rPr>
          <w:rFonts w:hint="eastAsia"/>
        </w:rPr>
        <w:t>灵芝子实体</w:t>
      </w:r>
      <w:r>
        <w:t>边缘白色生长点消失，边缘开始增厚，</w:t>
      </w:r>
      <w:r>
        <w:rPr>
          <w:rFonts w:hint="eastAsia"/>
        </w:rPr>
        <w:t>子实体</w:t>
      </w:r>
      <w:r>
        <w:t>木质化加重。此阶段适当控制通风，环境湿度在85%左右，防止高温高湿</w:t>
      </w:r>
      <w:r>
        <w:rPr>
          <w:rFonts w:hint="eastAsia"/>
        </w:rPr>
        <w:t>滋生霉菌</w:t>
      </w:r>
      <w:r>
        <w:t>。</w:t>
      </w:r>
    </w:p>
    <w:p>
      <w:pPr>
        <w:pStyle w:val="106"/>
        <w:spacing w:before="312" w:after="312"/>
      </w:pPr>
      <w:r>
        <w:t>病虫害防治</w:t>
      </w:r>
    </w:p>
    <w:p>
      <w:pPr>
        <w:pStyle w:val="107"/>
        <w:spacing w:before="156" w:after="156"/>
      </w:pPr>
      <w:r>
        <w:t>主要病虫害</w:t>
      </w:r>
    </w:p>
    <w:p>
      <w:pPr>
        <w:pStyle w:val="58"/>
        <w:ind w:firstLine="420"/>
      </w:pPr>
      <w:r>
        <w:t>主要病害有青霉、绿色木霉；主要虫害有夜蛾科幼虫等。</w:t>
      </w:r>
    </w:p>
    <w:p>
      <w:pPr>
        <w:pStyle w:val="107"/>
        <w:spacing w:before="156" w:after="156"/>
      </w:pPr>
      <w:r>
        <w:t>防治方法</w:t>
      </w:r>
    </w:p>
    <w:p>
      <w:pPr>
        <w:pStyle w:val="67"/>
        <w:spacing w:before="156" w:after="156"/>
      </w:pPr>
      <w:r>
        <w:t>物理防治</w:t>
      </w:r>
    </w:p>
    <w:p>
      <w:pPr>
        <w:pStyle w:val="58"/>
        <w:ind w:firstLine="420"/>
        <w:rPr>
          <w:rFonts w:ascii="黑体"/>
        </w:rPr>
      </w:pPr>
      <w:r>
        <w:t>及时摘除病芝，受杂菌侵染的菌袋应远离芝棚实行封闭式处理；芝棚内悬挂黄板、诱虫灯等诱杀害虫，通风口安装</w:t>
      </w:r>
      <w:r>
        <w:rPr>
          <w:rFonts w:hint="eastAsia"/>
          <w:lang w:eastAsia="zh-CN"/>
        </w:rPr>
        <w:t>网孔标准为</w:t>
      </w:r>
      <w:r>
        <w:t>0.250 mm</w:t>
      </w:r>
      <w:r>
        <w:rPr>
          <w:rFonts w:hint="eastAsia"/>
          <w:lang w:eastAsia="zh-CN"/>
        </w:rPr>
        <w:t>（标准目数为</w:t>
      </w:r>
      <w:r>
        <w:t>60目</w:t>
      </w:r>
      <w:r>
        <w:rPr>
          <w:rFonts w:hint="eastAsia"/>
          <w:lang w:eastAsia="zh-CN"/>
        </w:rPr>
        <w:t>）的</w:t>
      </w:r>
      <w:r>
        <w:t>防虫网。</w:t>
      </w:r>
    </w:p>
    <w:p>
      <w:pPr>
        <w:pStyle w:val="67"/>
        <w:spacing w:before="156" w:after="156"/>
      </w:pPr>
      <w:r>
        <w:t>化学防治</w:t>
      </w:r>
    </w:p>
    <w:p>
      <w:pPr>
        <w:pStyle w:val="58"/>
        <w:ind w:firstLine="420"/>
      </w:pPr>
      <w:r>
        <w:t>生产前结合场地整理进行药剂杀虫、杀菌，棚室必要时可用二氯异氰尿酸钠烟熏剂熏蒸</w:t>
      </w:r>
      <w:r>
        <w:rPr>
          <w:rFonts w:hint="eastAsia"/>
        </w:rPr>
        <w:t>杀</w:t>
      </w:r>
      <w:r>
        <w:t>菌，用量4 g/m</w:t>
      </w:r>
      <w:r>
        <w:rPr>
          <w:vertAlign w:val="superscript"/>
        </w:rPr>
        <w:t>3</w:t>
      </w:r>
      <w:r>
        <w:t>～5 g/m</w:t>
      </w:r>
      <w:r>
        <w:rPr>
          <w:vertAlign w:val="superscript"/>
        </w:rPr>
        <w:t>3</w:t>
      </w:r>
      <w:r>
        <w:t>，用4.3%高氟氯氰</w:t>
      </w:r>
      <w:r>
        <w:rPr>
          <w:rFonts w:hint="eastAsia" w:hAnsi="宋体" w:cs="宋体"/>
        </w:rPr>
        <w:t>·</w:t>
      </w:r>
      <w:r>
        <w:t>甲阿维乳油1500倍液进行喷洒杀虫</w:t>
      </w:r>
      <w:r>
        <w:rPr>
          <w:rFonts w:hint="eastAsia"/>
        </w:rPr>
        <w:t>，</w:t>
      </w:r>
      <w:r>
        <w:t>出芝期不得向子实体喷洒化学药剂。</w:t>
      </w:r>
    </w:p>
    <w:p>
      <w:pPr>
        <w:pStyle w:val="106"/>
        <w:spacing w:before="312" w:after="312"/>
      </w:pPr>
      <w:r>
        <w:t>孢子粉收集</w:t>
      </w:r>
      <w:r>
        <w:rPr>
          <w:rFonts w:hint="eastAsia"/>
        </w:rPr>
        <w:t>及加工</w:t>
      </w:r>
    </w:p>
    <w:p>
      <w:pPr>
        <w:pStyle w:val="58"/>
        <w:ind w:firstLine="420"/>
      </w:pPr>
      <w:r>
        <w:rPr>
          <w:rFonts w:hint="eastAsia"/>
        </w:rPr>
        <w:t>采粉时注意通风，防止霉变，孢子粉收集及加工应符合</w:t>
      </w:r>
      <w:r>
        <w:rPr>
          <w:rFonts w:hint="eastAsia" w:hAnsi="Calibri"/>
        </w:rPr>
        <w:t>D</w:t>
      </w:r>
      <w:r>
        <w:rPr>
          <w:rFonts w:hAnsi="Calibri"/>
        </w:rPr>
        <w:t>B37/T</w:t>
      </w:r>
      <w:r>
        <w:rPr>
          <w:color w:val="000000" w:themeColor="text1"/>
          <w14:textFill>
            <w14:solidFill>
              <w14:schemeClr w14:val="tx1"/>
            </w14:solidFill>
          </w14:textFill>
        </w:rPr>
        <w:t> </w:t>
      </w:r>
      <w:r>
        <w:rPr>
          <w:rFonts w:hAnsi="Calibri"/>
        </w:rPr>
        <w:t>1984</w:t>
      </w:r>
      <w:r>
        <w:rPr>
          <w:rFonts w:hint="eastAsia" w:hAnsi="Calibri"/>
        </w:rPr>
        <w:t>的规定</w:t>
      </w:r>
      <w:r>
        <w:rPr>
          <w:rFonts w:hint="eastAsia" w:ascii="Times New Roman"/>
        </w:rPr>
        <w:t>，生产加工过程中的卫生应符合</w:t>
      </w:r>
      <w:r>
        <w:rPr>
          <w:rFonts w:hint="eastAsia" w:hAnsi="Calibri"/>
        </w:rPr>
        <w:t>G</w:t>
      </w:r>
      <w:r>
        <w:rPr>
          <w:rFonts w:hAnsi="Calibri"/>
        </w:rPr>
        <w:t>B</w:t>
      </w:r>
      <w:r>
        <w:rPr>
          <w:color w:val="000000" w:themeColor="text1"/>
          <w14:textFill>
            <w14:solidFill>
              <w14:schemeClr w14:val="tx1"/>
            </w14:solidFill>
          </w14:textFill>
        </w:rPr>
        <w:t> </w:t>
      </w:r>
      <w:r>
        <w:rPr>
          <w:rFonts w:hAnsi="Calibri"/>
        </w:rPr>
        <w:t>14881</w:t>
      </w:r>
      <w:r>
        <w:rPr>
          <w:rFonts w:hint="eastAsia" w:ascii="Times New Roman"/>
        </w:rPr>
        <w:t>的规定。</w:t>
      </w:r>
    </w:p>
    <w:p>
      <w:pPr>
        <w:pStyle w:val="106"/>
        <w:spacing w:before="312" w:after="312"/>
      </w:pPr>
      <w:r>
        <w:rPr>
          <w:rFonts w:hint="eastAsia"/>
        </w:rPr>
        <w:t>子实体</w:t>
      </w:r>
      <w:r>
        <w:t>采收</w:t>
      </w:r>
    </w:p>
    <w:p>
      <w:pPr>
        <w:pStyle w:val="58"/>
        <w:ind w:firstLine="420"/>
        <w:rPr>
          <w:rFonts w:ascii="Times New Roman"/>
          <w:color w:val="000000"/>
        </w:rPr>
      </w:pPr>
      <w:r>
        <w:t>孢子释放完毕</w:t>
      </w:r>
      <w:r>
        <w:rPr>
          <w:rFonts w:hint="eastAsia"/>
        </w:rPr>
        <w:t>，</w:t>
      </w:r>
      <w:r>
        <w:t>用枝剪从根部剪断芝柄，</w:t>
      </w:r>
      <w:r>
        <w:rPr>
          <w:rFonts w:hint="eastAsia"/>
          <w:lang w:val="zh-CN"/>
        </w:rPr>
        <w:t>采下的子实体</w:t>
      </w:r>
      <w:r>
        <w:rPr>
          <w:rFonts w:hint="eastAsia"/>
        </w:rPr>
        <w:t>置</w:t>
      </w:r>
      <w:r>
        <w:rPr>
          <w:rFonts w:hint="eastAsia"/>
          <w:lang w:val="zh-CN"/>
        </w:rPr>
        <w:t>于</w:t>
      </w:r>
      <w:r>
        <w:rPr>
          <w:rFonts w:hint="eastAsia"/>
        </w:rPr>
        <w:t>晾晒大棚内</w:t>
      </w:r>
      <w:r>
        <w:rPr>
          <w:rFonts w:hint="eastAsia"/>
          <w:lang w:val="zh-CN"/>
        </w:rPr>
        <w:t>自然晒干或40℃～50℃</w:t>
      </w:r>
      <w:r>
        <w:rPr>
          <w:rFonts w:hint="eastAsia"/>
        </w:rPr>
        <w:t>烘箱进行</w:t>
      </w:r>
      <w:r>
        <w:rPr>
          <w:rFonts w:hint="eastAsia"/>
          <w:lang w:val="zh-CN"/>
        </w:rPr>
        <w:t>烘干</w:t>
      </w:r>
      <w:r>
        <w:t>，子实体含水量不超过1</w:t>
      </w:r>
      <w:r>
        <w:rPr>
          <w:rFonts w:hint="eastAsia"/>
        </w:rPr>
        <w:t>2</w:t>
      </w:r>
      <w:r>
        <w:t>%</w:t>
      </w:r>
      <w:r>
        <w:rPr>
          <w:rFonts w:hint="eastAsia"/>
        </w:rPr>
        <w:t>，子实</w:t>
      </w:r>
      <w:r>
        <w:rPr>
          <w:rFonts w:hint="eastAsia" w:ascii="Times New Roman"/>
        </w:rPr>
        <w:t>体农药残留限量应符合</w:t>
      </w:r>
      <w:r>
        <w:rPr>
          <w:rFonts w:hint="eastAsia"/>
        </w:rPr>
        <w:t>G</w:t>
      </w:r>
      <w:r>
        <w:t>B</w:t>
      </w:r>
      <w:r>
        <w:rPr>
          <w:color w:val="000000" w:themeColor="text1"/>
          <w14:textFill>
            <w14:solidFill>
              <w14:schemeClr w14:val="tx1"/>
            </w14:solidFill>
          </w14:textFill>
        </w:rPr>
        <w:t> </w:t>
      </w:r>
      <w:r>
        <w:t>2763</w:t>
      </w:r>
      <w:r>
        <w:rPr>
          <w:rFonts w:hint="eastAsia"/>
        </w:rPr>
        <w:t>的规定。</w:t>
      </w:r>
    </w:p>
    <w:p>
      <w:pPr>
        <w:pStyle w:val="106"/>
        <w:spacing w:before="312" w:after="312"/>
      </w:pPr>
      <w:r>
        <w:rPr>
          <w:rFonts w:hint="eastAsia"/>
        </w:rPr>
        <w:t>包装及贮运</w:t>
      </w:r>
    </w:p>
    <w:p>
      <w:pPr>
        <w:pStyle w:val="58"/>
        <w:ind w:firstLine="420"/>
      </w:pPr>
      <w:r>
        <w:rPr>
          <w:rFonts w:hint="eastAsia"/>
        </w:rPr>
        <w:t>产品包装袋应符合GB</w:t>
      </w:r>
      <w:r>
        <w:rPr>
          <w:color w:val="000000" w:themeColor="text1"/>
          <w14:textFill>
            <w14:solidFill>
              <w14:schemeClr w14:val="tx1"/>
            </w14:solidFill>
          </w14:textFill>
        </w:rPr>
        <w:t> </w:t>
      </w:r>
      <w:r>
        <w:rPr>
          <w:rFonts w:hint="eastAsia"/>
        </w:rPr>
        <w:t>9683的要求，包装贮运图示标识应符合GB/T</w:t>
      </w:r>
      <w:r>
        <w:rPr>
          <w:color w:val="000000" w:themeColor="text1"/>
          <w14:textFill>
            <w14:solidFill>
              <w14:schemeClr w14:val="tx1"/>
            </w14:solidFill>
          </w14:textFill>
        </w:rPr>
        <w:t> </w:t>
      </w:r>
      <w:r>
        <w:rPr>
          <w:rFonts w:hint="eastAsia"/>
        </w:rPr>
        <w:t>191的要求，运输工具应清洁、卫生、无污染物，严禁与有毒有害物品混装混运。</w:t>
      </w:r>
    </w:p>
    <w:p>
      <w:pPr>
        <w:pStyle w:val="58"/>
        <w:ind w:firstLine="420"/>
      </w:pPr>
    </w:p>
    <w:p>
      <w:pPr>
        <w:pStyle w:val="58"/>
        <w:ind w:firstLine="420"/>
      </w:pPr>
    </w:p>
    <w:p>
      <w:pPr>
        <w:pStyle w:val="58"/>
        <w:ind w:firstLine="420"/>
      </w:pPr>
    </w:p>
    <w:bookmarkEnd w:id="22"/>
    <w:p>
      <w:pPr>
        <w:pStyle w:val="58"/>
        <w:ind w:firstLine="0" w:firstLineChars="0"/>
        <w:jc w:val="center"/>
      </w:pPr>
      <w:bookmarkStart w:id="46" w:name="BookMark8"/>
      <w:r>
        <w:rPr>
          <w:rFonts w:hint="eastAsia"/>
        </w:rP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pgSz w:w="11906" w:h="16838"/>
      <w:pgMar w:top="2410"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3119"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default" w:ascii="Times New Roman" w:hAnsi="Times New Roman" w:eastAsia="黑体" w:cs="Times New Roman"/>
        <w:b w:val="0"/>
        <w:i w:val="0"/>
        <w:sz w:val="21"/>
      </w:rPr>
    </w:lvl>
    <w:lvl w:ilvl="2" w:tentative="0">
      <w:start w:val="1"/>
      <w:numFmt w:val="decimal"/>
      <w:pStyle w:val="107"/>
      <w:suff w:val="nothing"/>
      <w:lvlText w:val="%1%2.%3　"/>
      <w:lvlJc w:val="left"/>
      <w:pPr>
        <w:ind w:left="0" w:firstLine="0"/>
      </w:pPr>
      <w:rPr>
        <w:rFonts w:hint="default" w:ascii="Times New Roman"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141" w:firstLine="0"/>
      </w:pPr>
      <w:rPr>
        <w:rFonts w:hint="default" w:ascii="Times New Roman" w:hAnsi="Times New Roman" w:eastAsia="黑体" w:cs="Times New Roman"/>
        <w:b w:val="0"/>
        <w:i w:val="0"/>
        <w:sz w:val="21"/>
      </w:rPr>
    </w:lvl>
    <w:lvl w:ilvl="4" w:tentative="0">
      <w:start w:val="1"/>
      <w:numFmt w:val="decimal"/>
      <w:pStyle w:val="96"/>
      <w:suff w:val="nothing"/>
      <w:lvlText w:val="%1%2.%3.%4.%5　"/>
      <w:lvlJc w:val="left"/>
      <w:pPr>
        <w:ind w:left="1275" w:firstLine="0"/>
      </w:pPr>
      <w:rPr>
        <w:rFonts w:hint="default" w:ascii="Times New Roman" w:hAnsi="Times New Roman" w:eastAsia="黑体" w:cs="Times New Roman"/>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attachedTemplate r:id="rId1"/>
  <w:documentProtection w:edit="forms" w:enforcement="1" w:cryptProviderType="rsaAES" w:cryptAlgorithmClass="hash" w:cryptAlgorithmType="typeAny" w:cryptAlgorithmSid="14" w:cryptSpinCount="100000" w:hash="lsxQXGPkGtOeipG5UjdrXmEjD6NOL/R1qILo9x9nQsUhLeebbkf5XfCXmGGbzWDP6jDPaI26ShA1O38Nj44nLw==" w:salt="ZSPrtmebjtGFxzPUhRcQJA=="/>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g1NmJiMTMxNTUyNmIyNGE4YjI1YzIxOGE5NDNlNDUifQ=="/>
  </w:docVars>
  <w:rsids>
    <w:rsidRoot w:val="00E22473"/>
    <w:rsid w:val="0000040A"/>
    <w:rsid w:val="00000A94"/>
    <w:rsid w:val="00001972"/>
    <w:rsid w:val="00001D9A"/>
    <w:rsid w:val="00007B3A"/>
    <w:rsid w:val="000107E0"/>
    <w:rsid w:val="00011FDE"/>
    <w:rsid w:val="00012FFD"/>
    <w:rsid w:val="00014162"/>
    <w:rsid w:val="00014340"/>
    <w:rsid w:val="00016A9C"/>
    <w:rsid w:val="00022184"/>
    <w:rsid w:val="00022762"/>
    <w:rsid w:val="00022F60"/>
    <w:rsid w:val="000238E0"/>
    <w:rsid w:val="000249DB"/>
    <w:rsid w:val="0002595E"/>
    <w:rsid w:val="000303C3"/>
    <w:rsid w:val="000331D3"/>
    <w:rsid w:val="000346A5"/>
    <w:rsid w:val="000359C3"/>
    <w:rsid w:val="00035A7D"/>
    <w:rsid w:val="000365ED"/>
    <w:rsid w:val="000407F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538D"/>
    <w:rsid w:val="00077B64"/>
    <w:rsid w:val="00080A1C"/>
    <w:rsid w:val="00082317"/>
    <w:rsid w:val="00083D2C"/>
    <w:rsid w:val="00086AA1"/>
    <w:rsid w:val="00087A77"/>
    <w:rsid w:val="00090CA6"/>
    <w:rsid w:val="000923DD"/>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27C2D"/>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3F7D"/>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D00"/>
    <w:rsid w:val="001852C9"/>
    <w:rsid w:val="001859BC"/>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10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4FEC"/>
    <w:rsid w:val="0020527B"/>
    <w:rsid w:val="00205F2C"/>
    <w:rsid w:val="00210B15"/>
    <w:rsid w:val="00210B21"/>
    <w:rsid w:val="002142EA"/>
    <w:rsid w:val="002204BB"/>
    <w:rsid w:val="00221B79"/>
    <w:rsid w:val="00221C6B"/>
    <w:rsid w:val="002253A1"/>
    <w:rsid w:val="00225CF8"/>
    <w:rsid w:val="0022794E"/>
    <w:rsid w:val="00233D64"/>
    <w:rsid w:val="0023482A"/>
    <w:rsid w:val="002359CB"/>
    <w:rsid w:val="00237F0E"/>
    <w:rsid w:val="00243540"/>
    <w:rsid w:val="0024497B"/>
    <w:rsid w:val="0024515B"/>
    <w:rsid w:val="00246021"/>
    <w:rsid w:val="002460E4"/>
    <w:rsid w:val="0024666E"/>
    <w:rsid w:val="00247F52"/>
    <w:rsid w:val="00250B25"/>
    <w:rsid w:val="00250BBE"/>
    <w:rsid w:val="002515C2"/>
    <w:rsid w:val="0025194F"/>
    <w:rsid w:val="0026148A"/>
    <w:rsid w:val="00262696"/>
    <w:rsid w:val="00263D25"/>
    <w:rsid w:val="002643C3"/>
    <w:rsid w:val="00264A0C"/>
    <w:rsid w:val="00266EEB"/>
    <w:rsid w:val="00267EF4"/>
    <w:rsid w:val="00270026"/>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AC9"/>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3E84"/>
    <w:rsid w:val="002F7AF6"/>
    <w:rsid w:val="00300B70"/>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58A8"/>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7E06"/>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4BDE"/>
    <w:rsid w:val="003E660F"/>
    <w:rsid w:val="003F0841"/>
    <w:rsid w:val="003F23D3"/>
    <w:rsid w:val="003F3F08"/>
    <w:rsid w:val="003F49F1"/>
    <w:rsid w:val="003F6272"/>
    <w:rsid w:val="00400E72"/>
    <w:rsid w:val="00401400"/>
    <w:rsid w:val="00404869"/>
    <w:rsid w:val="00405884"/>
    <w:rsid w:val="00407D39"/>
    <w:rsid w:val="0041477A"/>
    <w:rsid w:val="004167A3"/>
    <w:rsid w:val="0042051F"/>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A6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861"/>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2B03"/>
    <w:rsid w:val="005836A8"/>
    <w:rsid w:val="0058409C"/>
    <w:rsid w:val="00584262"/>
    <w:rsid w:val="00586630"/>
    <w:rsid w:val="00587ADD"/>
    <w:rsid w:val="00591E27"/>
    <w:rsid w:val="00596160"/>
    <w:rsid w:val="005966E2"/>
    <w:rsid w:val="00597007"/>
    <w:rsid w:val="005A0966"/>
    <w:rsid w:val="005A11B7"/>
    <w:rsid w:val="005A1CEF"/>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49B"/>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6862"/>
    <w:rsid w:val="00632182"/>
    <w:rsid w:val="00632AE0"/>
    <w:rsid w:val="00633C17"/>
    <w:rsid w:val="00634D9E"/>
    <w:rsid w:val="00636E3E"/>
    <w:rsid w:val="006379F7"/>
    <w:rsid w:val="00637E4D"/>
    <w:rsid w:val="00640620"/>
    <w:rsid w:val="0064124D"/>
    <w:rsid w:val="00641A1F"/>
    <w:rsid w:val="00645904"/>
    <w:rsid w:val="00651ACB"/>
    <w:rsid w:val="00651C47"/>
    <w:rsid w:val="00652AB2"/>
    <w:rsid w:val="00653FED"/>
    <w:rsid w:val="00654EC0"/>
    <w:rsid w:val="0065525B"/>
    <w:rsid w:val="006552BB"/>
    <w:rsid w:val="00655D4F"/>
    <w:rsid w:val="00656D29"/>
    <w:rsid w:val="006614A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9783E"/>
    <w:rsid w:val="006A05B3"/>
    <w:rsid w:val="006A07AA"/>
    <w:rsid w:val="006A25E5"/>
    <w:rsid w:val="006A2B46"/>
    <w:rsid w:val="006A336D"/>
    <w:rsid w:val="006A37B9"/>
    <w:rsid w:val="006B2672"/>
    <w:rsid w:val="006B54BF"/>
    <w:rsid w:val="006B5F44"/>
    <w:rsid w:val="006B5F90"/>
    <w:rsid w:val="006B62E4"/>
    <w:rsid w:val="006C1BBA"/>
    <w:rsid w:val="006C2079"/>
    <w:rsid w:val="006C393B"/>
    <w:rsid w:val="006C5A62"/>
    <w:rsid w:val="006C5D68"/>
    <w:rsid w:val="006C6976"/>
    <w:rsid w:val="006C6DD0"/>
    <w:rsid w:val="006D04EA"/>
    <w:rsid w:val="006D16C4"/>
    <w:rsid w:val="006D3E96"/>
    <w:rsid w:val="006D4515"/>
    <w:rsid w:val="006D4BB1"/>
    <w:rsid w:val="006D6593"/>
    <w:rsid w:val="006D7911"/>
    <w:rsid w:val="006E23EA"/>
    <w:rsid w:val="006F03A8"/>
    <w:rsid w:val="006F2ACA"/>
    <w:rsid w:val="006F2ADC"/>
    <w:rsid w:val="006F2BFE"/>
    <w:rsid w:val="006F31E9"/>
    <w:rsid w:val="006F6284"/>
    <w:rsid w:val="006F638B"/>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4CD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4F69"/>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57CA"/>
    <w:rsid w:val="00810257"/>
    <w:rsid w:val="008103D8"/>
    <w:rsid w:val="008104F5"/>
    <w:rsid w:val="00811072"/>
    <w:rsid w:val="00811369"/>
    <w:rsid w:val="00815419"/>
    <w:rsid w:val="008163C8"/>
    <w:rsid w:val="008164A1"/>
    <w:rsid w:val="00817325"/>
    <w:rsid w:val="008209E6"/>
    <w:rsid w:val="00823303"/>
    <w:rsid w:val="008233B2"/>
    <w:rsid w:val="00823A9F"/>
    <w:rsid w:val="00823C85"/>
    <w:rsid w:val="00825138"/>
    <w:rsid w:val="008254EA"/>
    <w:rsid w:val="008269DD"/>
    <w:rsid w:val="00830621"/>
    <w:rsid w:val="0083348C"/>
    <w:rsid w:val="008373D3"/>
    <w:rsid w:val="00840617"/>
    <w:rsid w:val="00840F84"/>
    <w:rsid w:val="00842A47"/>
    <w:rsid w:val="00842F9F"/>
    <w:rsid w:val="00843C13"/>
    <w:rsid w:val="008454F8"/>
    <w:rsid w:val="0085173A"/>
    <w:rsid w:val="0085349F"/>
    <w:rsid w:val="00856316"/>
    <w:rsid w:val="008603CE"/>
    <w:rsid w:val="008620FC"/>
    <w:rsid w:val="008627A5"/>
    <w:rsid w:val="00863E05"/>
    <w:rsid w:val="00865ACA"/>
    <w:rsid w:val="00865D28"/>
    <w:rsid w:val="00865F85"/>
    <w:rsid w:val="00867C10"/>
    <w:rsid w:val="00870439"/>
    <w:rsid w:val="00870DA1"/>
    <w:rsid w:val="00874269"/>
    <w:rsid w:val="00882B3F"/>
    <w:rsid w:val="00883F93"/>
    <w:rsid w:val="00884DB3"/>
    <w:rsid w:val="00885A9D"/>
    <w:rsid w:val="008864F6"/>
    <w:rsid w:val="0089049D"/>
    <w:rsid w:val="00891F3B"/>
    <w:rsid w:val="008928C9"/>
    <w:rsid w:val="008930CB"/>
    <w:rsid w:val="008938DC"/>
    <w:rsid w:val="00893FD1"/>
    <w:rsid w:val="00894836"/>
    <w:rsid w:val="00895172"/>
    <w:rsid w:val="00895680"/>
    <w:rsid w:val="00896DFF"/>
    <w:rsid w:val="0089762C"/>
    <w:rsid w:val="008A1893"/>
    <w:rsid w:val="008A3215"/>
    <w:rsid w:val="008A4B82"/>
    <w:rsid w:val="008A4E6A"/>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481"/>
    <w:rsid w:val="008D2D1D"/>
    <w:rsid w:val="008D453D"/>
    <w:rsid w:val="008D53AD"/>
    <w:rsid w:val="008D562B"/>
    <w:rsid w:val="008D5733"/>
    <w:rsid w:val="008D622B"/>
    <w:rsid w:val="008D666C"/>
    <w:rsid w:val="008D7B54"/>
    <w:rsid w:val="008E0C9D"/>
    <w:rsid w:val="008E1648"/>
    <w:rsid w:val="008E195A"/>
    <w:rsid w:val="008E1B3E"/>
    <w:rsid w:val="008E2319"/>
    <w:rsid w:val="008E4877"/>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01E9"/>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2C41"/>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BDD"/>
    <w:rsid w:val="009C00FC"/>
    <w:rsid w:val="009C27F1"/>
    <w:rsid w:val="009C3152"/>
    <w:rsid w:val="009C4CFA"/>
    <w:rsid w:val="009C5070"/>
    <w:rsid w:val="009D112C"/>
    <w:rsid w:val="009D474B"/>
    <w:rsid w:val="009D47FA"/>
    <w:rsid w:val="009D4C5B"/>
    <w:rsid w:val="009D50D2"/>
    <w:rsid w:val="009D6BCA"/>
    <w:rsid w:val="009E0F62"/>
    <w:rsid w:val="009E4A58"/>
    <w:rsid w:val="009E5A2D"/>
    <w:rsid w:val="009E5AB2"/>
    <w:rsid w:val="009E6219"/>
    <w:rsid w:val="009F03B3"/>
    <w:rsid w:val="00A0096C"/>
    <w:rsid w:val="00A01565"/>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1CC8"/>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4FE7"/>
    <w:rsid w:val="00AB625A"/>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3C2B"/>
    <w:rsid w:val="00B049AF"/>
    <w:rsid w:val="00B07242"/>
    <w:rsid w:val="00B10534"/>
    <w:rsid w:val="00B113DB"/>
    <w:rsid w:val="00B11D8A"/>
    <w:rsid w:val="00B12981"/>
    <w:rsid w:val="00B147DD"/>
    <w:rsid w:val="00B156FD"/>
    <w:rsid w:val="00B21F61"/>
    <w:rsid w:val="00B22700"/>
    <w:rsid w:val="00B261F1"/>
    <w:rsid w:val="00B265BC"/>
    <w:rsid w:val="00B31FB1"/>
    <w:rsid w:val="00B33952"/>
    <w:rsid w:val="00B33C5E"/>
    <w:rsid w:val="00B342F4"/>
    <w:rsid w:val="00B34369"/>
    <w:rsid w:val="00B34DC2"/>
    <w:rsid w:val="00B378E5"/>
    <w:rsid w:val="00B4346D"/>
    <w:rsid w:val="00B4390B"/>
    <w:rsid w:val="00B440F4"/>
    <w:rsid w:val="00B447A5"/>
    <w:rsid w:val="00B4654C"/>
    <w:rsid w:val="00B47293"/>
    <w:rsid w:val="00B50E50"/>
    <w:rsid w:val="00B52120"/>
    <w:rsid w:val="00B54ABC"/>
    <w:rsid w:val="00B54DDE"/>
    <w:rsid w:val="00B56FBE"/>
    <w:rsid w:val="00B60606"/>
    <w:rsid w:val="00B60ACF"/>
    <w:rsid w:val="00B62B58"/>
    <w:rsid w:val="00B65149"/>
    <w:rsid w:val="00B66567"/>
    <w:rsid w:val="00B66F52"/>
    <w:rsid w:val="00B66FE5"/>
    <w:rsid w:val="00B70FCF"/>
    <w:rsid w:val="00B72880"/>
    <w:rsid w:val="00B758BF"/>
    <w:rsid w:val="00B77EC8"/>
    <w:rsid w:val="00B827A6"/>
    <w:rsid w:val="00B831CE"/>
    <w:rsid w:val="00B86677"/>
    <w:rsid w:val="00B87131"/>
    <w:rsid w:val="00B939B1"/>
    <w:rsid w:val="00B96D40"/>
    <w:rsid w:val="00B97386"/>
    <w:rsid w:val="00BA263B"/>
    <w:rsid w:val="00BA265F"/>
    <w:rsid w:val="00BA42B2"/>
    <w:rsid w:val="00BA58D4"/>
    <w:rsid w:val="00BA5B9E"/>
    <w:rsid w:val="00BA7C9A"/>
    <w:rsid w:val="00BB17A4"/>
    <w:rsid w:val="00BB3969"/>
    <w:rsid w:val="00BB5F8F"/>
    <w:rsid w:val="00BB657A"/>
    <w:rsid w:val="00BC1A4E"/>
    <w:rsid w:val="00BC370B"/>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2E24"/>
    <w:rsid w:val="00C13319"/>
    <w:rsid w:val="00C13EE9"/>
    <w:rsid w:val="00C21540"/>
    <w:rsid w:val="00C21906"/>
    <w:rsid w:val="00C21BFA"/>
    <w:rsid w:val="00C22148"/>
    <w:rsid w:val="00C24C8D"/>
    <w:rsid w:val="00C25FE2"/>
    <w:rsid w:val="00C26B53"/>
    <w:rsid w:val="00C279B2"/>
    <w:rsid w:val="00C33E50"/>
    <w:rsid w:val="00C33F31"/>
    <w:rsid w:val="00C34C20"/>
    <w:rsid w:val="00C35A3E"/>
    <w:rsid w:val="00C42130"/>
    <w:rsid w:val="00C423A4"/>
    <w:rsid w:val="00C44BF5"/>
    <w:rsid w:val="00C521D6"/>
    <w:rsid w:val="00C55232"/>
    <w:rsid w:val="00C553A4"/>
    <w:rsid w:val="00C55A06"/>
    <w:rsid w:val="00C55D03"/>
    <w:rsid w:val="00C567CB"/>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190"/>
    <w:rsid w:val="00C9435D"/>
    <w:rsid w:val="00C94DF2"/>
    <w:rsid w:val="00C96741"/>
    <w:rsid w:val="00CA153C"/>
    <w:rsid w:val="00CA2D1B"/>
    <w:rsid w:val="00CA375D"/>
    <w:rsid w:val="00CA662A"/>
    <w:rsid w:val="00CA79DC"/>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4A5"/>
    <w:rsid w:val="00D32719"/>
    <w:rsid w:val="00D33333"/>
    <w:rsid w:val="00D33457"/>
    <w:rsid w:val="00D352A2"/>
    <w:rsid w:val="00D4162B"/>
    <w:rsid w:val="00D4514F"/>
    <w:rsid w:val="00D451E2"/>
    <w:rsid w:val="00D45E89"/>
    <w:rsid w:val="00D45E8D"/>
    <w:rsid w:val="00D466AE"/>
    <w:rsid w:val="00D4734F"/>
    <w:rsid w:val="00D5191F"/>
    <w:rsid w:val="00D51BF3"/>
    <w:rsid w:val="00D66846"/>
    <w:rsid w:val="00D675FB"/>
    <w:rsid w:val="00D71F25"/>
    <w:rsid w:val="00D72A9C"/>
    <w:rsid w:val="00D77031"/>
    <w:rsid w:val="00D8300D"/>
    <w:rsid w:val="00D844EE"/>
    <w:rsid w:val="00D84941"/>
    <w:rsid w:val="00D84FA1"/>
    <w:rsid w:val="00D851F0"/>
    <w:rsid w:val="00D86DB7"/>
    <w:rsid w:val="00D926D0"/>
    <w:rsid w:val="00D93030"/>
    <w:rsid w:val="00D94C0B"/>
    <w:rsid w:val="00D950E1"/>
    <w:rsid w:val="00D952A6"/>
    <w:rsid w:val="00D97F99"/>
    <w:rsid w:val="00DA1E08"/>
    <w:rsid w:val="00DA24F8"/>
    <w:rsid w:val="00DA28E8"/>
    <w:rsid w:val="00DA38D3"/>
    <w:rsid w:val="00DA3932"/>
    <w:rsid w:val="00DA3AFC"/>
    <w:rsid w:val="00DA64F8"/>
    <w:rsid w:val="00DA6C15"/>
    <w:rsid w:val="00DB0258"/>
    <w:rsid w:val="00DB0B4A"/>
    <w:rsid w:val="00DB38EE"/>
    <w:rsid w:val="00DB498B"/>
    <w:rsid w:val="00DB66CA"/>
    <w:rsid w:val="00DB6BCA"/>
    <w:rsid w:val="00DB73F7"/>
    <w:rsid w:val="00DC0321"/>
    <w:rsid w:val="00DC3067"/>
    <w:rsid w:val="00DC370B"/>
    <w:rsid w:val="00DC5B90"/>
    <w:rsid w:val="00DC657C"/>
    <w:rsid w:val="00DD00FF"/>
    <w:rsid w:val="00DD0619"/>
    <w:rsid w:val="00DD07FB"/>
    <w:rsid w:val="00DD25C6"/>
    <w:rsid w:val="00DD4332"/>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2473"/>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0E3"/>
    <w:rsid w:val="00EA61BC"/>
    <w:rsid w:val="00EA681A"/>
    <w:rsid w:val="00EA735B"/>
    <w:rsid w:val="00EB17DE"/>
    <w:rsid w:val="00EB1E69"/>
    <w:rsid w:val="00EB2086"/>
    <w:rsid w:val="00EB5EDF"/>
    <w:rsid w:val="00EB60FE"/>
    <w:rsid w:val="00EB74DB"/>
    <w:rsid w:val="00EC5359"/>
    <w:rsid w:val="00EC562A"/>
    <w:rsid w:val="00ED067A"/>
    <w:rsid w:val="00ED2B50"/>
    <w:rsid w:val="00ED305C"/>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7E28"/>
    <w:rsid w:val="00F25BB6"/>
    <w:rsid w:val="00F26B7E"/>
    <w:rsid w:val="00F27A3B"/>
    <w:rsid w:val="00F33817"/>
    <w:rsid w:val="00F420D5"/>
    <w:rsid w:val="00F451EA"/>
    <w:rsid w:val="00F45447"/>
    <w:rsid w:val="00F456C6"/>
    <w:rsid w:val="00F4577B"/>
    <w:rsid w:val="00F46496"/>
    <w:rsid w:val="00F474D0"/>
    <w:rsid w:val="00F50179"/>
    <w:rsid w:val="00F51233"/>
    <w:rsid w:val="00F515EE"/>
    <w:rsid w:val="00F56511"/>
    <w:rsid w:val="00F6194E"/>
    <w:rsid w:val="00F623AC"/>
    <w:rsid w:val="00F6412A"/>
    <w:rsid w:val="00F65893"/>
    <w:rsid w:val="00F66A4A"/>
    <w:rsid w:val="00F71E22"/>
    <w:rsid w:val="00F72142"/>
    <w:rsid w:val="00F72AE7"/>
    <w:rsid w:val="00F75277"/>
    <w:rsid w:val="00F81141"/>
    <w:rsid w:val="00F81922"/>
    <w:rsid w:val="00F833BA"/>
    <w:rsid w:val="00F84FD0"/>
    <w:rsid w:val="00F859A8"/>
    <w:rsid w:val="00F86D87"/>
    <w:rsid w:val="00F9108B"/>
    <w:rsid w:val="00F911E5"/>
    <w:rsid w:val="00F91349"/>
    <w:rsid w:val="00F93A8A"/>
    <w:rsid w:val="00F95248"/>
    <w:rsid w:val="00F956A9"/>
    <w:rsid w:val="00F963ED"/>
    <w:rsid w:val="00F966CF"/>
    <w:rsid w:val="00F96CAE"/>
    <w:rsid w:val="00F97C99"/>
    <w:rsid w:val="00FA3913"/>
    <w:rsid w:val="00FA4DAC"/>
    <w:rsid w:val="00FA662D"/>
    <w:rsid w:val="00FA73B1"/>
    <w:rsid w:val="00FB0CB9"/>
    <w:rsid w:val="00FB231D"/>
    <w:rsid w:val="00FB45F1"/>
    <w:rsid w:val="00FB4A72"/>
    <w:rsid w:val="00FB54E8"/>
    <w:rsid w:val="00FB7054"/>
    <w:rsid w:val="00FC17B7"/>
    <w:rsid w:val="00FC2CB7"/>
    <w:rsid w:val="00FC4090"/>
    <w:rsid w:val="00FC4177"/>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04110C"/>
    <w:rsid w:val="02716BF3"/>
    <w:rsid w:val="034717D1"/>
    <w:rsid w:val="04EC1E30"/>
    <w:rsid w:val="07CA36B7"/>
    <w:rsid w:val="08034068"/>
    <w:rsid w:val="14570A6C"/>
    <w:rsid w:val="177B2927"/>
    <w:rsid w:val="1A310B82"/>
    <w:rsid w:val="1E871B9E"/>
    <w:rsid w:val="1F117E4B"/>
    <w:rsid w:val="20F11C5A"/>
    <w:rsid w:val="23AB3753"/>
    <w:rsid w:val="246500E5"/>
    <w:rsid w:val="26984814"/>
    <w:rsid w:val="28DB1C1F"/>
    <w:rsid w:val="2E195422"/>
    <w:rsid w:val="2F71210A"/>
    <w:rsid w:val="3427116F"/>
    <w:rsid w:val="351F2B15"/>
    <w:rsid w:val="37A946A7"/>
    <w:rsid w:val="3B37511C"/>
    <w:rsid w:val="3BD741A5"/>
    <w:rsid w:val="410D3C5E"/>
    <w:rsid w:val="443430D7"/>
    <w:rsid w:val="44577737"/>
    <w:rsid w:val="4BB415B4"/>
    <w:rsid w:val="51934A68"/>
    <w:rsid w:val="53F31055"/>
    <w:rsid w:val="546F4AAC"/>
    <w:rsid w:val="54A1067D"/>
    <w:rsid w:val="550048FA"/>
    <w:rsid w:val="568E36DE"/>
    <w:rsid w:val="59F7418D"/>
    <w:rsid w:val="5F240847"/>
    <w:rsid w:val="63C22FF8"/>
    <w:rsid w:val="672E7C6D"/>
    <w:rsid w:val="73AF6ED8"/>
    <w:rsid w:val="7881794A"/>
    <w:rsid w:val="78DE0BD3"/>
    <w:rsid w:val="79780961"/>
    <w:rsid w:val="7EA56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8"/>
    <w:qFormat/>
    <w:uiPriority w:val="0"/>
    <w:pPr>
      <w:spacing w:after="120"/>
    </w:pPr>
  </w:style>
  <w:style w:type="paragraph" w:styleId="14">
    <w:name w:val="Body Text Indent"/>
    <w:basedOn w:val="1"/>
    <w:link w:val="237"/>
    <w:semiHidden/>
    <w:unhideWhenUsed/>
    <w:qFormat/>
    <w:uiPriority w:val="99"/>
    <w:pPr>
      <w:spacing w:after="120"/>
      <w:ind w:left="420" w:leftChars="20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paragraph" w:styleId="27">
    <w:name w:val="Body Text First Indent 2"/>
    <w:basedOn w:val="14"/>
    <w:link w:val="238"/>
    <w:semiHidden/>
    <w:unhideWhenUsed/>
    <w:qFormat/>
    <w:uiPriority w:val="99"/>
    <w:pPr>
      <w:ind w:firstLine="420" w:firstLineChars="200"/>
    </w:p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rFonts w:ascii="Times New Roman" w:hAnsi="Times New Roman" w:eastAsia="宋体" w:cs="Times New Roman"/>
      <w:b/>
      <w:bCs/>
      <w:kern w:val="44"/>
      <w:sz w:val="44"/>
      <w:szCs w:val="44"/>
    </w:rPr>
  </w:style>
  <w:style w:type="character" w:customStyle="1" w:styleId="37">
    <w:name w:val="标题 2 字符"/>
    <w:link w:val="3"/>
    <w:qFormat/>
    <w:uiPriority w:val="0"/>
    <w:rPr>
      <w:rFonts w:ascii="Arial" w:hAnsi="Arial" w:eastAsia="黑体" w:cs="Times New Roman"/>
      <w:b/>
      <w:bCs/>
      <w:sz w:val="32"/>
      <w:szCs w:val="32"/>
    </w:rPr>
  </w:style>
  <w:style w:type="character" w:customStyle="1" w:styleId="38">
    <w:name w:val="标题 3 字符"/>
    <w:link w:val="4"/>
    <w:qFormat/>
    <w:uiPriority w:val="0"/>
    <w:rPr>
      <w:rFonts w:ascii="Times New Roman" w:hAnsi="Times New Roman" w:eastAsia="宋体" w:cs="Times New Roman"/>
      <w:b/>
      <w:bCs/>
      <w:sz w:val="32"/>
      <w:szCs w:val="32"/>
    </w:rPr>
  </w:style>
  <w:style w:type="character" w:customStyle="1" w:styleId="39">
    <w:name w:val="标题 4 字符"/>
    <w:link w:val="5"/>
    <w:qFormat/>
    <w:uiPriority w:val="0"/>
    <w:rPr>
      <w:rFonts w:ascii="Arial" w:hAnsi="Arial" w:eastAsia="黑体" w:cs="Times New Roman"/>
      <w:b/>
      <w:bCs/>
      <w:sz w:val="28"/>
      <w:szCs w:val="28"/>
    </w:rPr>
  </w:style>
  <w:style w:type="character" w:customStyle="1" w:styleId="40">
    <w:name w:val="标题 5 字符"/>
    <w:link w:val="6"/>
    <w:qFormat/>
    <w:uiPriority w:val="0"/>
    <w:rPr>
      <w:rFonts w:ascii="Times New Roman" w:hAnsi="Times New Roman" w:eastAsia="宋体" w:cs="Times New Roman"/>
      <w:b/>
      <w:bCs/>
      <w:sz w:val="28"/>
      <w:szCs w:val="28"/>
    </w:rPr>
  </w:style>
  <w:style w:type="character" w:customStyle="1" w:styleId="41">
    <w:name w:val="标题 6 字符"/>
    <w:link w:val="7"/>
    <w:qFormat/>
    <w:uiPriority w:val="0"/>
    <w:rPr>
      <w:rFonts w:ascii="Arial" w:hAnsi="Arial" w:eastAsia="黑体" w:cs="Times New Roman"/>
      <w:b/>
      <w:bCs/>
      <w:sz w:val="24"/>
      <w:szCs w:val="24"/>
    </w:rPr>
  </w:style>
  <w:style w:type="character" w:customStyle="1" w:styleId="42">
    <w:name w:val="标题 7 字符"/>
    <w:link w:val="8"/>
    <w:qFormat/>
    <w:uiPriority w:val="0"/>
    <w:rPr>
      <w:rFonts w:ascii="Times New Roman" w:hAnsi="Times New Roman" w:eastAsia="宋体" w:cs="Times New Roman"/>
      <w:b/>
      <w:bCs/>
      <w:sz w:val="24"/>
      <w:szCs w:val="24"/>
    </w:rPr>
  </w:style>
  <w:style w:type="character" w:customStyle="1" w:styleId="43">
    <w:name w:val="标题 8 字符"/>
    <w:link w:val="9"/>
    <w:qFormat/>
    <w:uiPriority w:val="0"/>
    <w:rPr>
      <w:rFonts w:ascii="Arial" w:hAnsi="Arial" w:eastAsia="黑体" w:cs="Times New Roman"/>
      <w:sz w:val="24"/>
      <w:szCs w:val="24"/>
    </w:rPr>
  </w:style>
  <w:style w:type="character" w:customStyle="1" w:styleId="44">
    <w:name w:val="标题 9 字符"/>
    <w:link w:val="10"/>
    <w:qFormat/>
    <w:uiPriority w:val="0"/>
    <w:rPr>
      <w:rFonts w:ascii="Arial" w:hAnsi="Arial" w:eastAsia="黑体" w:cs="Times New Roman"/>
      <w:szCs w:val="21"/>
    </w:rPr>
  </w:style>
  <w:style w:type="character" w:customStyle="1" w:styleId="45">
    <w:name w:val="页眉 字符"/>
    <w:link w:val="19"/>
    <w:qFormat/>
    <w:uiPriority w:val="99"/>
    <w:rPr>
      <w:rFonts w:ascii="Times New Roman" w:hAnsi="Times New Roman" w:eastAsia="宋体" w:cs="Times New Roman"/>
      <w:sz w:val="18"/>
      <w:szCs w:val="18"/>
    </w:rPr>
  </w:style>
  <w:style w:type="character" w:customStyle="1" w:styleId="46">
    <w:name w:val="页脚 字符"/>
    <w:link w:val="18"/>
    <w:qFormat/>
    <w:uiPriority w:val="99"/>
    <w:rPr>
      <w:rFonts w:ascii="宋体" w:hAnsi="Times New Roman" w:eastAsia="宋体" w:cs="Times New Roman"/>
      <w:sz w:val="18"/>
      <w:szCs w:val="18"/>
    </w:rPr>
  </w:style>
  <w:style w:type="character" w:customStyle="1" w:styleId="47">
    <w:name w:val="批注框文本 字符"/>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rPr>
  </w:style>
  <w:style w:type="character" w:customStyle="1" w:styleId="50">
    <w:name w:val="标题 字符"/>
    <w:link w:val="26"/>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3"/>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7"/>
    <w:next w:val="58"/>
    <w:qFormat/>
    <w:uiPriority w:val="0"/>
    <w:pPr>
      <w:widowControl/>
      <w:numPr>
        <w:ilvl w:val="4"/>
      </w:numPr>
      <w:ind w:left="567"/>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ind w:left="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paragraph" w:customStyle="1" w:styleId="232">
    <w:name w:val="段"/>
    <w:link w:val="236"/>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3">
    <w:name w:val="一级条标题"/>
    <w:next w:val="232"/>
    <w:link w:val="235"/>
    <w:qFormat/>
    <w:uiPriority w:val="0"/>
    <w:pPr>
      <w:numPr>
        <w:ilvl w:val="1"/>
        <w:numId w:val="32"/>
      </w:numPr>
      <w:spacing w:beforeLines="50" w:afterLines="50"/>
      <w:outlineLvl w:val="2"/>
    </w:pPr>
    <w:rPr>
      <w:rFonts w:ascii="黑体" w:hAnsi="Calibri" w:eastAsia="黑体" w:cs="Times New Roman"/>
      <w:sz w:val="21"/>
      <w:szCs w:val="21"/>
      <w:lang w:val="en-US" w:eastAsia="zh-CN" w:bidi="ar-SA"/>
    </w:rPr>
  </w:style>
  <w:style w:type="paragraph" w:customStyle="1" w:styleId="234">
    <w:name w:val="章标题"/>
    <w:next w:val="232"/>
    <w:qFormat/>
    <w:uiPriority w:val="0"/>
    <w:pPr>
      <w:numPr>
        <w:ilvl w:val="0"/>
        <w:numId w:val="32"/>
      </w:numPr>
      <w:spacing w:beforeLines="100" w:afterLines="100"/>
      <w:jc w:val="both"/>
      <w:outlineLvl w:val="1"/>
    </w:pPr>
    <w:rPr>
      <w:rFonts w:ascii="黑体" w:hAnsi="Calibri" w:eastAsia="黑体" w:cs="Times New Roman"/>
      <w:sz w:val="21"/>
      <w:lang w:val="en-US" w:eastAsia="zh-CN" w:bidi="ar-SA"/>
    </w:rPr>
  </w:style>
  <w:style w:type="character" w:customStyle="1" w:styleId="235">
    <w:name w:val="一级条标题 Char"/>
    <w:link w:val="233"/>
    <w:qFormat/>
    <w:uiPriority w:val="0"/>
    <w:rPr>
      <w:rFonts w:ascii="黑体" w:eastAsia="黑体"/>
      <w:sz w:val="21"/>
      <w:szCs w:val="21"/>
    </w:rPr>
  </w:style>
  <w:style w:type="character" w:customStyle="1" w:styleId="236">
    <w:name w:val="段 Char"/>
    <w:link w:val="232"/>
    <w:qFormat/>
    <w:uiPriority w:val="0"/>
    <w:rPr>
      <w:rFonts w:ascii="宋体"/>
      <w:sz w:val="21"/>
    </w:rPr>
  </w:style>
  <w:style w:type="character" w:customStyle="1" w:styleId="237">
    <w:name w:val="正文文本缩进 字符"/>
    <w:basedOn w:val="30"/>
    <w:link w:val="14"/>
    <w:semiHidden/>
    <w:qFormat/>
    <w:uiPriority w:val="99"/>
    <w:rPr>
      <w:kern w:val="2"/>
      <w:sz w:val="21"/>
      <w:szCs w:val="21"/>
    </w:rPr>
  </w:style>
  <w:style w:type="character" w:customStyle="1" w:styleId="238">
    <w:name w:val="正文文本首行缩进 2 字符"/>
    <w:basedOn w:val="237"/>
    <w:link w:val="27"/>
    <w:semiHidden/>
    <w:qFormat/>
    <w:uiPriority w:val="99"/>
    <w:rPr>
      <w:kern w:val="2"/>
      <w:sz w:val="21"/>
      <w:szCs w:val="21"/>
    </w:rPr>
  </w:style>
  <w:style w:type="paragraph" w:customStyle="1" w:styleId="239">
    <w:name w:val="二级条标题"/>
    <w:basedOn w:val="233"/>
    <w:next w:val="232"/>
    <w:qFormat/>
    <w:uiPriority w:val="0"/>
    <w:pPr>
      <w:numPr>
        <w:ilvl w:val="0"/>
        <w:numId w:val="0"/>
      </w:numPr>
      <w:spacing w:before="50" w:after="50"/>
      <w:outlineLvl w:val="3"/>
    </w:pPr>
  </w:style>
  <w:style w:type="paragraph" w:customStyle="1" w:styleId="240">
    <w:name w:val="二级无"/>
    <w:basedOn w:val="239"/>
    <w:qFormat/>
    <w:uiPriority w:val="0"/>
    <w:rPr>
      <w:rFonts w:ascii="宋体" w:hAnsi="等线" w:eastAsia="宋体" w:cs="宋体"/>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4CEE88931124D30A6FCAAA60E2865E0"/>
        <w:style w:val=""/>
        <w:category>
          <w:name w:val="常规"/>
          <w:gallery w:val="placeholder"/>
        </w:category>
        <w:types>
          <w:type w:val="bbPlcHdr"/>
        </w:types>
        <w:behaviors>
          <w:behavior w:val="content"/>
        </w:behaviors>
        <w:description w:val=""/>
        <w:guid w:val="{1F0DD442-0BC4-4A01-9311-8E42CB8BE865}"/>
      </w:docPartPr>
      <w:docPartBody>
        <w:p>
          <w:pPr>
            <w:pStyle w:val="5"/>
          </w:pPr>
          <w:r>
            <w:rPr>
              <w:rStyle w:val="4"/>
              <w:rFonts w:hint="eastAsia"/>
            </w:rPr>
            <w:t>单击或点击此处输入文字。</w:t>
          </w:r>
        </w:p>
      </w:docPartBody>
    </w:docPart>
    <w:docPart>
      <w:docPartPr>
        <w:name w:val="EA264AB3AC924560A60287FF895C4273"/>
        <w:style w:val=""/>
        <w:category>
          <w:name w:val="常规"/>
          <w:gallery w:val="placeholder"/>
        </w:category>
        <w:types>
          <w:type w:val="bbPlcHdr"/>
        </w:types>
        <w:behaviors>
          <w:behavior w:val="content"/>
        </w:behaviors>
        <w:description w:val=""/>
        <w:guid w:val="{BA199D5E-0565-49FA-8FF4-F53084A5D607}"/>
      </w:docPartPr>
      <w:docPartBody>
        <w:p>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6C2"/>
    <w:rsid w:val="0012358C"/>
    <w:rsid w:val="00163902"/>
    <w:rsid w:val="003677EF"/>
    <w:rsid w:val="00371D7E"/>
    <w:rsid w:val="00422840"/>
    <w:rsid w:val="004A285D"/>
    <w:rsid w:val="004A6CEE"/>
    <w:rsid w:val="008812F0"/>
    <w:rsid w:val="00912161"/>
    <w:rsid w:val="00B22B60"/>
    <w:rsid w:val="00C476C2"/>
    <w:rsid w:val="00D014F1"/>
    <w:rsid w:val="00D64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4CEE88931124D30A6FCAAA60E2865E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A264AB3AC924560A60287FF895C427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1EF73D-4A18-4DC4-92AD-9A8E6783CED4}">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7</Pages>
  <Words>3037</Words>
  <Characters>3916</Characters>
  <Lines>31</Lines>
  <Paragraphs>8</Paragraphs>
  <TotalTime>1</TotalTime>
  <ScaleCrop>false</ScaleCrop>
  <LinksUpToDate>false</LinksUpToDate>
  <CharactersWithSpaces>3967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2023-07-21T09:06:00Z</dcterms:created>
  <dc:creator>Administrator</dc:creator>
  <dc:description>&lt;config cover="true" show_menu="true" version="1.0.0" doctype="SDKXY"&gt;_x000d_
&lt;/config&gt;</dc:description>
  <cp:lastModifiedBy>冬日雪绒</cp:lastModifiedBy>
  <cp:lastPrinted>2023-09-11T02:21:54Z</cp:lastPrinted>
  <dcterms:modified xsi:type="dcterms:W3CDTF">2023-09-11T02:22:01Z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68F0C4A1936540E09686484B8118E6DE_13</vt:lpwstr>
  </property>
</Properties>
</file>